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三河市招募优秀大学生志愿者汇总表</w:t>
      </w:r>
    </w:p>
    <w:tbl>
      <w:tblPr>
        <w:tblStyle w:val="3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156"/>
        <w:gridCol w:w="973"/>
        <w:gridCol w:w="1065"/>
        <w:gridCol w:w="1558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志愿方向（初中、小学、幼儿园）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意向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科目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3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58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04" w:type="dxa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002BF"/>
    <w:rsid w:val="07B002BF"/>
    <w:rsid w:val="0CFC63B1"/>
    <w:rsid w:val="289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2021-09-03T03:51:00Z</dcterms:created>
  <dc:creator>麻油叶先生</dc:creator>
  <cp:lastModifiedBy>WPS_1571110640</cp:lastModifiedBy>
  <dcterms:modified xsi:type="dcterms:W3CDTF">2022-02-19T03:55:45Z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E3B4E68E578B41B1A963EFF3B3612CFC</vt:lpwstr>
  </property>
</Properties>
</file>