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8" w:line="223" w:lineRule="auto"/>
        <w:rPr>
          <w:rFonts w:ascii="黑体" w:hAnsi="黑体" w:eastAsia="黑体" w:cs="黑体"/>
          <w:sz w:val="30"/>
          <w:szCs w:val="30"/>
          <w:lang w:eastAsia="zh-CN"/>
        </w:rPr>
      </w:pPr>
      <w:r>
        <w:rPr>
          <w:rFonts w:hint="eastAsia" w:ascii="黑体" w:hAnsi="黑体" w:eastAsia="黑体" w:cs="黑体"/>
          <w:sz w:val="30"/>
          <w:szCs w:val="30"/>
          <w:lang w:eastAsia="zh-CN"/>
        </w:rPr>
        <w:t>附件1</w:t>
      </w:r>
    </w:p>
    <w:p>
      <w:pPr>
        <w:spacing w:before="159" w:line="218" w:lineRule="auto"/>
        <w:jc w:val="center"/>
        <w:outlineLvl w:val="0"/>
        <w:rPr>
          <w:rFonts w:ascii="黑体" w:hAnsi="黑体" w:eastAsia="黑体" w:cs="黑体"/>
          <w:sz w:val="40"/>
          <w:szCs w:val="40"/>
          <w:lang w:eastAsia="zh-CN"/>
        </w:rPr>
      </w:pPr>
      <w:bookmarkStart w:id="0" w:name="_GoBack"/>
      <w:bookmarkEnd w:id="0"/>
      <w:r>
        <w:rPr>
          <w:rFonts w:ascii="黑体" w:hAnsi="黑体" w:eastAsia="黑体" w:cs="黑体"/>
          <w:b/>
          <w:bCs/>
          <w:spacing w:val="1"/>
          <w:sz w:val="40"/>
          <w:szCs w:val="40"/>
          <w:lang w:eastAsia="zh-CN"/>
        </w:rPr>
        <w:t>高等学校实验室安全检查项目表</w:t>
      </w:r>
    </w:p>
    <w:p>
      <w:pPr>
        <w:spacing w:line="65" w:lineRule="exact"/>
        <w:rPr>
          <w:lang w:eastAsia="zh-CN"/>
        </w:rPr>
      </w:pPr>
    </w:p>
    <w:tbl>
      <w:tblPr>
        <w:tblStyle w:val="6"/>
        <w:tblW w:w="14459" w:type="dxa"/>
        <w:tblInd w:w="-8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3546"/>
        <w:gridCol w:w="8078"/>
        <w:gridCol w:w="2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709" w:type="dxa"/>
            <w:vAlign w:val="center"/>
          </w:tcPr>
          <w:p>
            <w:pPr>
              <w:pStyle w:val="7"/>
              <w:spacing w:before="49" w:line="212" w:lineRule="auto"/>
              <w:ind w:left="37"/>
              <w:jc w:val="center"/>
              <w:rPr>
                <w:rFonts w:ascii="黑体" w:hAnsi="黑体" w:eastAsia="黑体"/>
                <w:sz w:val="21"/>
                <w:szCs w:val="21"/>
              </w:rPr>
            </w:pPr>
            <w:r>
              <w:rPr>
                <w:rFonts w:ascii="黑体" w:hAnsi="黑体" w:eastAsia="黑体"/>
                <w:b/>
                <w:bCs/>
                <w:spacing w:val="-5"/>
                <w:sz w:val="21"/>
                <w:szCs w:val="21"/>
              </w:rPr>
              <w:t>序号</w:t>
            </w:r>
          </w:p>
        </w:tc>
        <w:tc>
          <w:tcPr>
            <w:tcW w:w="3546" w:type="dxa"/>
            <w:vAlign w:val="center"/>
          </w:tcPr>
          <w:p>
            <w:pPr>
              <w:pStyle w:val="7"/>
              <w:spacing w:before="49" w:line="212" w:lineRule="auto"/>
              <w:ind w:left="60"/>
              <w:jc w:val="center"/>
              <w:rPr>
                <w:rFonts w:ascii="黑体" w:hAnsi="黑体" w:eastAsia="黑体"/>
                <w:sz w:val="21"/>
                <w:szCs w:val="21"/>
              </w:rPr>
            </w:pPr>
            <w:r>
              <w:rPr>
                <w:rFonts w:ascii="黑体" w:hAnsi="黑体" w:eastAsia="黑体"/>
                <w:b/>
                <w:bCs/>
                <w:spacing w:val="1"/>
                <w:sz w:val="21"/>
                <w:szCs w:val="21"/>
              </w:rPr>
              <w:t>检查项目</w:t>
            </w:r>
          </w:p>
        </w:tc>
        <w:tc>
          <w:tcPr>
            <w:tcW w:w="8078" w:type="dxa"/>
            <w:vAlign w:val="center"/>
          </w:tcPr>
          <w:p>
            <w:pPr>
              <w:pStyle w:val="7"/>
              <w:spacing w:before="49" w:line="212" w:lineRule="auto"/>
              <w:ind w:left="54"/>
              <w:jc w:val="center"/>
              <w:rPr>
                <w:rFonts w:ascii="黑体" w:hAnsi="黑体" w:eastAsia="黑体"/>
                <w:sz w:val="21"/>
                <w:szCs w:val="21"/>
              </w:rPr>
            </w:pPr>
            <w:r>
              <w:rPr>
                <w:rFonts w:ascii="黑体" w:hAnsi="黑体" w:eastAsia="黑体"/>
                <w:b/>
                <w:bCs/>
                <w:spacing w:val="-5"/>
                <w:sz w:val="21"/>
                <w:szCs w:val="21"/>
              </w:rPr>
              <w:t>检查要点</w:t>
            </w:r>
          </w:p>
        </w:tc>
        <w:tc>
          <w:tcPr>
            <w:tcW w:w="2126" w:type="dxa"/>
            <w:vAlign w:val="center"/>
          </w:tcPr>
          <w:p>
            <w:pPr>
              <w:pStyle w:val="7"/>
              <w:spacing w:before="49" w:line="212" w:lineRule="auto"/>
              <w:ind w:left="72"/>
              <w:jc w:val="center"/>
              <w:rPr>
                <w:rFonts w:ascii="黑体" w:hAnsi="黑体" w:eastAsia="黑体"/>
                <w:sz w:val="21"/>
                <w:szCs w:val="21"/>
              </w:rPr>
            </w:pPr>
            <w:r>
              <w:rPr>
                <w:rFonts w:ascii="黑体" w:hAnsi="黑体" w:eastAsia="黑体"/>
                <w:b/>
                <w:bCs/>
                <w:spacing w:val="-5"/>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709" w:type="dxa"/>
            <w:vAlign w:val="center"/>
          </w:tcPr>
          <w:p>
            <w:pPr>
              <w:pStyle w:val="7"/>
              <w:spacing w:before="76" w:line="172" w:lineRule="auto"/>
              <w:ind w:left="48"/>
              <w:jc w:val="both"/>
              <w:rPr>
                <w:rFonts w:ascii="Times New Roman" w:hAnsi="Times New Roman" w:cs="Times New Roman"/>
                <w:sz w:val="21"/>
                <w:szCs w:val="21"/>
              </w:rPr>
            </w:pPr>
            <w:r>
              <w:rPr>
                <w:rFonts w:ascii="Times New Roman" w:hAnsi="Times New Roman" w:cs="Times New Roman"/>
                <w:sz w:val="21"/>
                <w:szCs w:val="21"/>
              </w:rPr>
              <w:t>1</w:t>
            </w:r>
          </w:p>
        </w:tc>
        <w:tc>
          <w:tcPr>
            <w:tcW w:w="13750" w:type="dxa"/>
            <w:gridSpan w:val="3"/>
            <w:vAlign w:val="center"/>
          </w:tcPr>
          <w:p>
            <w:pPr>
              <w:pStyle w:val="7"/>
              <w:spacing w:before="37" w:line="212" w:lineRule="auto"/>
              <w:ind w:left="57"/>
              <w:jc w:val="both"/>
              <w:rPr>
                <w:rFonts w:ascii="仿宋" w:hAnsi="仿宋" w:eastAsia="仿宋"/>
                <w:sz w:val="21"/>
                <w:szCs w:val="21"/>
              </w:rPr>
            </w:pPr>
            <w:r>
              <w:rPr>
                <w:rFonts w:ascii="仿宋" w:hAnsi="仿宋" w:eastAsia="仿宋"/>
                <w:b/>
                <w:bCs/>
                <w:spacing w:val="-4"/>
                <w:sz w:val="21"/>
                <w:szCs w:val="21"/>
              </w:rPr>
              <w:t>责任体系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709" w:type="dxa"/>
            <w:vAlign w:val="center"/>
          </w:tcPr>
          <w:p>
            <w:pPr>
              <w:pStyle w:val="7"/>
              <w:spacing w:before="101" w:line="179" w:lineRule="auto"/>
              <w:ind w:left="51"/>
              <w:jc w:val="both"/>
              <w:rPr>
                <w:rFonts w:ascii="Times New Roman" w:hAnsi="Times New Roman" w:cs="Times New Roman"/>
                <w:sz w:val="21"/>
                <w:szCs w:val="21"/>
              </w:rPr>
            </w:pPr>
            <w:r>
              <w:rPr>
                <w:rFonts w:ascii="Times New Roman" w:hAnsi="Times New Roman" w:cs="Times New Roman"/>
                <w:b/>
                <w:bCs/>
                <w:spacing w:val="-10"/>
                <w:sz w:val="21"/>
                <w:szCs w:val="21"/>
              </w:rPr>
              <w:t>1.1</w:t>
            </w:r>
          </w:p>
        </w:tc>
        <w:tc>
          <w:tcPr>
            <w:tcW w:w="13750" w:type="dxa"/>
            <w:gridSpan w:val="3"/>
            <w:vAlign w:val="center"/>
          </w:tcPr>
          <w:p>
            <w:pPr>
              <w:pStyle w:val="7"/>
              <w:spacing w:before="54" w:line="220" w:lineRule="auto"/>
              <w:ind w:left="54"/>
              <w:jc w:val="both"/>
              <w:rPr>
                <w:rFonts w:ascii="仿宋" w:hAnsi="仿宋" w:eastAsia="仿宋"/>
                <w:sz w:val="21"/>
                <w:szCs w:val="21"/>
                <w:lang w:eastAsia="zh-CN"/>
              </w:rPr>
            </w:pPr>
            <w:r>
              <w:rPr>
                <w:rFonts w:ascii="仿宋" w:hAnsi="仿宋" w:eastAsia="仿宋"/>
                <w:b/>
                <w:bCs/>
                <w:spacing w:val="-3"/>
                <w:sz w:val="21"/>
                <w:szCs w:val="21"/>
                <w:lang w:eastAsia="zh-CN"/>
              </w:rPr>
              <w:t>学校层面安全贵任体系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09" w:type="dxa"/>
            <w:vAlign w:val="center"/>
          </w:tcPr>
          <w:p>
            <w:pPr>
              <w:pStyle w:val="7"/>
              <w:spacing w:before="225" w:line="182" w:lineRule="auto"/>
              <w:ind w:left="48"/>
              <w:jc w:val="both"/>
              <w:rPr>
                <w:rFonts w:ascii="Times New Roman" w:hAnsi="Times New Roman" w:cs="Times New Roman"/>
                <w:sz w:val="21"/>
                <w:szCs w:val="21"/>
              </w:rPr>
            </w:pPr>
            <w:r>
              <w:rPr>
                <w:rFonts w:ascii="Times New Roman" w:hAnsi="Times New Roman" w:cs="Times New Roman"/>
                <w:spacing w:val="-6"/>
                <w:sz w:val="21"/>
                <w:szCs w:val="21"/>
              </w:rPr>
              <w:t>1.1.1</w:t>
            </w:r>
          </w:p>
        </w:tc>
        <w:tc>
          <w:tcPr>
            <w:tcW w:w="3546" w:type="dxa"/>
            <w:vAlign w:val="center"/>
          </w:tcPr>
          <w:p>
            <w:pPr>
              <w:pStyle w:val="7"/>
              <w:spacing w:before="176" w:line="219" w:lineRule="auto"/>
              <w:ind w:left="62"/>
              <w:jc w:val="both"/>
              <w:rPr>
                <w:rFonts w:ascii="仿宋" w:hAnsi="仿宋" w:eastAsia="仿宋"/>
                <w:sz w:val="21"/>
                <w:szCs w:val="21"/>
                <w:lang w:eastAsia="zh-CN"/>
              </w:rPr>
            </w:pPr>
            <w:r>
              <w:rPr>
                <w:rFonts w:ascii="仿宋" w:hAnsi="仿宋" w:eastAsia="仿宋"/>
                <w:spacing w:val="-1"/>
                <w:sz w:val="21"/>
                <w:szCs w:val="21"/>
                <w:lang w:eastAsia="zh-CN"/>
              </w:rPr>
              <w:t>实验室安全工作纳入学校决策研究事项</w:t>
            </w:r>
          </w:p>
        </w:tc>
        <w:tc>
          <w:tcPr>
            <w:tcW w:w="8078" w:type="dxa"/>
            <w:vAlign w:val="center"/>
          </w:tcPr>
          <w:p>
            <w:pPr>
              <w:pStyle w:val="7"/>
              <w:spacing w:before="68" w:line="228" w:lineRule="auto"/>
              <w:ind w:right="461"/>
              <w:jc w:val="both"/>
              <w:rPr>
                <w:rFonts w:ascii="仿宋" w:hAnsi="仿宋" w:eastAsia="仿宋"/>
                <w:sz w:val="21"/>
                <w:szCs w:val="21"/>
                <w:lang w:eastAsia="zh-CN"/>
              </w:rPr>
            </w:pPr>
            <w:r>
              <w:rPr>
                <w:rFonts w:ascii="仿宋" w:hAnsi="仿宋" w:eastAsia="仿宋"/>
                <w:spacing w:val="-1"/>
                <w:sz w:val="21"/>
                <w:szCs w:val="21"/>
                <w:lang w:eastAsia="zh-CN"/>
              </w:rPr>
              <w:t>(1)有学校相关会议(校务会议、党委常委会会议等)纪要；内容包含实验室</w:t>
            </w:r>
            <w:r>
              <w:rPr>
                <w:rFonts w:ascii="仿宋" w:hAnsi="仿宋" w:eastAsia="仿宋"/>
                <w:spacing w:val="-2"/>
                <w:sz w:val="21"/>
                <w:szCs w:val="21"/>
                <w:lang w:eastAsia="zh-CN"/>
              </w:rPr>
              <w:t>安全工作</w:t>
            </w:r>
            <w:r>
              <w:rPr>
                <w:rFonts w:hint="eastAsia" w:ascii="仿宋" w:hAnsi="仿宋" w:eastAsia="仿宋"/>
                <w:spacing w:val="-2"/>
                <w:sz w:val="21"/>
                <w:szCs w:val="21"/>
                <w:lang w:eastAsia="zh-CN"/>
              </w:rPr>
              <w:t>。</w:t>
            </w:r>
          </w:p>
        </w:tc>
        <w:tc>
          <w:tcPr>
            <w:tcW w:w="2126" w:type="dxa"/>
            <w:vAlign w:val="center"/>
          </w:tcPr>
          <w:p>
            <w:pPr>
              <w:jc w:val="both"/>
              <w:rPr>
                <w:rFonts w:ascii="仿宋" w:hAnsi="仿宋" w:eastAsia="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709" w:type="dxa"/>
            <w:vAlign w:val="center"/>
          </w:tcPr>
          <w:p>
            <w:pPr>
              <w:pStyle w:val="7"/>
              <w:spacing w:before="58" w:line="182" w:lineRule="auto"/>
              <w:ind w:left="48"/>
              <w:jc w:val="both"/>
              <w:rPr>
                <w:rFonts w:ascii="Times New Roman" w:hAnsi="Times New Roman" w:cs="Times New Roman"/>
                <w:sz w:val="21"/>
                <w:szCs w:val="21"/>
              </w:rPr>
            </w:pPr>
            <w:r>
              <w:rPr>
                <w:rFonts w:ascii="Times New Roman" w:hAnsi="Times New Roman" w:cs="Times New Roman"/>
                <w:spacing w:val="-6"/>
                <w:sz w:val="21"/>
                <w:szCs w:val="21"/>
              </w:rPr>
              <w:t>1.1.2</w:t>
            </w:r>
          </w:p>
        </w:tc>
        <w:tc>
          <w:tcPr>
            <w:tcW w:w="3546" w:type="dxa"/>
            <w:vAlign w:val="center"/>
          </w:tcPr>
          <w:p>
            <w:pPr>
              <w:pStyle w:val="7"/>
              <w:spacing w:before="59" w:line="225" w:lineRule="auto"/>
              <w:ind w:left="57" w:right="300" w:firstLine="1"/>
              <w:jc w:val="both"/>
              <w:rPr>
                <w:rFonts w:ascii="仿宋" w:hAnsi="仿宋" w:eastAsia="仿宋"/>
                <w:sz w:val="21"/>
                <w:szCs w:val="21"/>
                <w:lang w:eastAsia="zh-CN"/>
              </w:rPr>
            </w:pPr>
            <w:r>
              <w:rPr>
                <w:rFonts w:ascii="仿宋" w:hAnsi="仿宋" w:eastAsia="仿宋"/>
                <w:spacing w:val="-2"/>
                <w:sz w:val="21"/>
                <w:szCs w:val="21"/>
                <w:lang w:eastAsia="zh-CN"/>
              </w:rPr>
              <w:t>有校级实验室安全工作责任人与领导</w:t>
            </w:r>
            <w:r>
              <w:rPr>
                <w:rFonts w:ascii="仿宋" w:hAnsi="仿宋" w:eastAsia="仿宋"/>
                <w:spacing w:val="-4"/>
                <w:sz w:val="21"/>
                <w:szCs w:val="21"/>
                <w:lang w:eastAsia="zh-CN"/>
              </w:rPr>
              <w:t>机构</w:t>
            </w:r>
          </w:p>
        </w:tc>
        <w:tc>
          <w:tcPr>
            <w:tcW w:w="8078" w:type="dxa"/>
            <w:vAlign w:val="center"/>
          </w:tcPr>
          <w:p>
            <w:pPr>
              <w:pStyle w:val="7"/>
              <w:spacing w:before="86" w:line="248" w:lineRule="auto"/>
              <w:ind w:left="41" w:right="205"/>
              <w:jc w:val="both"/>
              <w:rPr>
                <w:rFonts w:ascii="仿宋" w:hAnsi="仿宋" w:eastAsia="仿宋"/>
                <w:sz w:val="21"/>
                <w:szCs w:val="21"/>
                <w:lang w:eastAsia="zh-CN"/>
              </w:rPr>
            </w:pPr>
            <w:r>
              <w:rPr>
                <w:rFonts w:ascii="仿宋" w:hAnsi="仿宋" w:eastAsia="仿宋"/>
                <w:spacing w:val="1"/>
                <w:sz w:val="21"/>
                <w:szCs w:val="21"/>
                <w:lang w:eastAsia="zh-CN"/>
              </w:rPr>
              <w:t>(2)有校级正式发文，明确学校党政主要负责人是第一责任人；分管实验室安全工</w:t>
            </w:r>
            <w:r>
              <w:rPr>
                <w:rFonts w:ascii="仿宋" w:hAnsi="仿宋" w:eastAsia="仿宋"/>
                <w:spacing w:val="2"/>
                <w:sz w:val="21"/>
                <w:szCs w:val="21"/>
                <w:lang w:eastAsia="zh-CN"/>
              </w:rPr>
              <w:t>作的校领导是重要领导责任人，协助第一责任人负责实验室安全工作；其</w:t>
            </w:r>
            <w:r>
              <w:rPr>
                <w:rFonts w:ascii="仿宋" w:hAnsi="仿宋" w:eastAsia="仿宋"/>
                <w:spacing w:val="1"/>
                <w:sz w:val="21"/>
                <w:szCs w:val="21"/>
                <w:lang w:eastAsia="zh-CN"/>
              </w:rPr>
              <w:t>他校领导</w:t>
            </w:r>
            <w:r>
              <w:rPr>
                <w:rFonts w:ascii="仿宋" w:hAnsi="仿宋" w:eastAsia="仿宋"/>
                <w:spacing w:val="2"/>
                <w:sz w:val="21"/>
                <w:szCs w:val="21"/>
                <w:lang w:eastAsia="zh-CN"/>
              </w:rPr>
              <w:t>在分管工作范围内对实验室安全工作负有支持、监督和指导职责</w:t>
            </w:r>
            <w:r>
              <w:rPr>
                <w:rFonts w:ascii="仿宋" w:hAnsi="仿宋" w:eastAsia="仿宋"/>
                <w:spacing w:val="1"/>
                <w:sz w:val="21"/>
                <w:szCs w:val="21"/>
                <w:lang w:eastAsia="zh-CN"/>
              </w:rPr>
              <w:t>；设立校级领导机</w:t>
            </w:r>
            <w:r>
              <w:rPr>
                <w:rFonts w:ascii="仿宋" w:hAnsi="仿宋" w:eastAsia="仿宋"/>
                <w:sz w:val="21"/>
                <w:szCs w:val="21"/>
                <w:lang w:eastAsia="zh-CN"/>
              </w:rPr>
              <w:t>构，明确其部门组成和工作职责，分管实验室安全工作的校领</w:t>
            </w:r>
            <w:r>
              <w:rPr>
                <w:rFonts w:ascii="仿宋" w:hAnsi="仿宋" w:eastAsia="仿宋"/>
                <w:spacing w:val="-1"/>
                <w:sz w:val="21"/>
                <w:szCs w:val="21"/>
                <w:lang w:eastAsia="zh-CN"/>
              </w:rPr>
              <w:t>导为该机构负责人</w:t>
            </w:r>
            <w:r>
              <w:rPr>
                <w:rFonts w:hint="eastAsia" w:ascii="仿宋" w:hAnsi="仿宋" w:eastAsia="仿宋"/>
                <w:spacing w:val="-1"/>
                <w:sz w:val="21"/>
                <w:szCs w:val="21"/>
                <w:lang w:eastAsia="zh-CN"/>
              </w:rPr>
              <w:t>。</w:t>
            </w:r>
          </w:p>
        </w:tc>
        <w:tc>
          <w:tcPr>
            <w:tcW w:w="2126" w:type="dxa"/>
            <w:vAlign w:val="center"/>
          </w:tcPr>
          <w:p>
            <w:pPr>
              <w:jc w:val="both"/>
              <w:rPr>
                <w:rFonts w:ascii="仿宋" w:hAnsi="仿宋" w:eastAsia="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709" w:type="dxa"/>
            <w:vAlign w:val="center"/>
          </w:tcPr>
          <w:p>
            <w:pPr>
              <w:pStyle w:val="7"/>
              <w:spacing w:before="87" w:line="173" w:lineRule="auto"/>
              <w:ind w:left="48"/>
              <w:jc w:val="both"/>
              <w:rPr>
                <w:rFonts w:ascii="Times New Roman" w:hAnsi="Times New Roman" w:cs="Times New Roman"/>
                <w:sz w:val="21"/>
                <w:szCs w:val="21"/>
              </w:rPr>
            </w:pPr>
            <w:r>
              <w:rPr>
                <w:rFonts w:ascii="Times New Roman" w:hAnsi="Times New Roman" w:cs="Times New Roman"/>
                <w:spacing w:val="-6"/>
                <w:sz w:val="21"/>
                <w:szCs w:val="21"/>
              </w:rPr>
              <w:t>1.1.3</w:t>
            </w:r>
          </w:p>
        </w:tc>
        <w:tc>
          <w:tcPr>
            <w:tcW w:w="3546" w:type="dxa"/>
            <w:vAlign w:val="center"/>
          </w:tcPr>
          <w:p>
            <w:pPr>
              <w:pStyle w:val="7"/>
              <w:spacing w:before="45" w:line="216" w:lineRule="auto"/>
              <w:ind w:left="58"/>
              <w:jc w:val="both"/>
              <w:rPr>
                <w:rFonts w:ascii="仿宋" w:hAnsi="仿宋" w:eastAsia="仿宋"/>
                <w:sz w:val="21"/>
                <w:szCs w:val="21"/>
                <w:lang w:eastAsia="zh-CN"/>
              </w:rPr>
            </w:pPr>
            <w:r>
              <w:rPr>
                <w:rFonts w:ascii="仿宋" w:hAnsi="仿宋" w:eastAsia="仿宋"/>
                <w:sz w:val="21"/>
                <w:szCs w:val="21"/>
                <w:lang w:eastAsia="zh-CN"/>
              </w:rPr>
              <w:t>有明确的实验室安全管理职能部门</w:t>
            </w:r>
          </w:p>
        </w:tc>
        <w:tc>
          <w:tcPr>
            <w:tcW w:w="8078" w:type="dxa"/>
            <w:vAlign w:val="center"/>
          </w:tcPr>
          <w:p>
            <w:pPr>
              <w:pStyle w:val="7"/>
              <w:spacing w:before="45" w:line="216" w:lineRule="auto"/>
              <w:ind w:left="83"/>
              <w:jc w:val="both"/>
              <w:rPr>
                <w:rFonts w:ascii="仿宋" w:hAnsi="仿宋" w:eastAsia="仿宋"/>
                <w:sz w:val="21"/>
                <w:szCs w:val="21"/>
                <w:lang w:eastAsia="zh-CN"/>
              </w:rPr>
            </w:pPr>
            <w:r>
              <w:rPr>
                <w:rFonts w:ascii="仿宋" w:hAnsi="仿宋" w:eastAsia="仿宋"/>
                <w:spacing w:val="-1"/>
                <w:sz w:val="21"/>
                <w:szCs w:val="21"/>
                <w:lang w:eastAsia="zh-CN"/>
              </w:rPr>
              <w:t>(3)明确牵头职能部门负责实验室安全工作，相关职能部门切实配合</w:t>
            </w:r>
            <w:r>
              <w:rPr>
                <w:rFonts w:ascii="仿宋" w:hAnsi="仿宋" w:eastAsia="仿宋"/>
                <w:spacing w:val="-2"/>
                <w:sz w:val="21"/>
                <w:szCs w:val="21"/>
                <w:lang w:eastAsia="zh-CN"/>
              </w:rPr>
              <w:t>落实工作</w:t>
            </w:r>
            <w:r>
              <w:rPr>
                <w:rFonts w:hint="eastAsia" w:ascii="仿宋" w:hAnsi="仿宋" w:eastAsia="仿宋"/>
                <w:spacing w:val="-2"/>
                <w:sz w:val="21"/>
                <w:szCs w:val="21"/>
                <w:lang w:eastAsia="zh-CN"/>
              </w:rPr>
              <w:t>。</w:t>
            </w:r>
          </w:p>
        </w:tc>
        <w:tc>
          <w:tcPr>
            <w:tcW w:w="2126" w:type="dxa"/>
            <w:vAlign w:val="center"/>
          </w:tcPr>
          <w:p>
            <w:pPr>
              <w:jc w:val="both"/>
              <w:rPr>
                <w:rFonts w:ascii="仿宋" w:hAnsi="仿宋" w:eastAsia="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09" w:type="dxa"/>
            <w:vAlign w:val="center"/>
          </w:tcPr>
          <w:p>
            <w:pPr>
              <w:pStyle w:val="7"/>
              <w:spacing w:before="104" w:line="173" w:lineRule="auto"/>
              <w:ind w:left="48"/>
              <w:jc w:val="both"/>
              <w:rPr>
                <w:rFonts w:ascii="Times New Roman" w:hAnsi="Times New Roman" w:cs="Times New Roman"/>
                <w:sz w:val="21"/>
                <w:szCs w:val="21"/>
              </w:rPr>
            </w:pPr>
            <w:r>
              <w:rPr>
                <w:rFonts w:ascii="Times New Roman" w:hAnsi="Times New Roman" w:cs="Times New Roman"/>
                <w:spacing w:val="-6"/>
                <w:sz w:val="21"/>
                <w:szCs w:val="21"/>
              </w:rPr>
              <w:t>1.1.4</w:t>
            </w:r>
          </w:p>
        </w:tc>
        <w:tc>
          <w:tcPr>
            <w:tcW w:w="3546" w:type="dxa"/>
            <w:vAlign w:val="center"/>
          </w:tcPr>
          <w:p>
            <w:pPr>
              <w:pStyle w:val="7"/>
              <w:spacing w:before="60" w:line="218" w:lineRule="auto"/>
              <w:ind w:left="61"/>
              <w:jc w:val="both"/>
              <w:rPr>
                <w:rFonts w:ascii="仿宋" w:hAnsi="仿宋" w:eastAsia="仿宋"/>
                <w:sz w:val="21"/>
                <w:szCs w:val="21"/>
                <w:lang w:eastAsia="zh-CN"/>
              </w:rPr>
            </w:pPr>
            <w:r>
              <w:rPr>
                <w:rFonts w:ascii="仿宋" w:hAnsi="仿宋" w:eastAsia="仿宋"/>
                <w:spacing w:val="-1"/>
                <w:sz w:val="21"/>
                <w:szCs w:val="21"/>
                <w:lang w:eastAsia="zh-CN"/>
              </w:rPr>
              <w:t>学校与院系签订实验室安全责任书</w:t>
            </w:r>
          </w:p>
        </w:tc>
        <w:tc>
          <w:tcPr>
            <w:tcW w:w="8078" w:type="dxa"/>
            <w:vAlign w:val="center"/>
          </w:tcPr>
          <w:p>
            <w:pPr>
              <w:pStyle w:val="7"/>
              <w:spacing w:before="60" w:line="218" w:lineRule="auto"/>
              <w:ind w:left="83"/>
              <w:jc w:val="both"/>
              <w:rPr>
                <w:rFonts w:ascii="仿宋" w:hAnsi="仿宋" w:eastAsia="仿宋"/>
                <w:sz w:val="21"/>
                <w:szCs w:val="21"/>
                <w:lang w:eastAsia="zh-CN"/>
              </w:rPr>
            </w:pPr>
            <w:r>
              <w:rPr>
                <w:rFonts w:ascii="仿宋" w:hAnsi="仿宋" w:eastAsia="仿宋"/>
                <w:spacing w:val="-1"/>
                <w:sz w:val="21"/>
                <w:szCs w:val="21"/>
                <w:lang w:eastAsia="zh-CN"/>
              </w:rPr>
              <w:t>(4)档案或信息系统里有现任学校领导与院系负责人签字盖章的</w:t>
            </w:r>
            <w:r>
              <w:rPr>
                <w:rFonts w:ascii="仿宋" w:hAnsi="仿宋" w:eastAsia="仿宋"/>
                <w:spacing w:val="-2"/>
                <w:sz w:val="21"/>
                <w:szCs w:val="21"/>
                <w:lang w:eastAsia="zh-CN"/>
              </w:rPr>
              <w:t>安全责任书</w:t>
            </w:r>
            <w:r>
              <w:rPr>
                <w:rFonts w:hint="eastAsia" w:ascii="仿宋" w:hAnsi="仿宋" w:eastAsia="仿宋"/>
                <w:spacing w:val="-2"/>
                <w:sz w:val="21"/>
                <w:szCs w:val="21"/>
                <w:lang w:eastAsia="zh-CN"/>
              </w:rPr>
              <w:t>。</w:t>
            </w:r>
          </w:p>
        </w:tc>
        <w:tc>
          <w:tcPr>
            <w:tcW w:w="2126" w:type="dxa"/>
            <w:vAlign w:val="center"/>
          </w:tcPr>
          <w:p>
            <w:pPr>
              <w:jc w:val="both"/>
              <w:rPr>
                <w:rFonts w:ascii="仿宋" w:hAnsi="仿宋" w:eastAsia="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709" w:type="dxa"/>
            <w:vAlign w:val="center"/>
          </w:tcPr>
          <w:p>
            <w:pPr>
              <w:pStyle w:val="7"/>
              <w:spacing w:before="80" w:line="168" w:lineRule="auto"/>
              <w:ind w:left="51"/>
              <w:jc w:val="both"/>
              <w:rPr>
                <w:rFonts w:ascii="Times New Roman" w:hAnsi="Times New Roman" w:cs="Times New Roman"/>
                <w:sz w:val="21"/>
                <w:szCs w:val="21"/>
              </w:rPr>
            </w:pPr>
            <w:r>
              <w:rPr>
                <w:rFonts w:ascii="Times New Roman" w:hAnsi="Times New Roman" w:cs="Times New Roman"/>
                <w:b/>
                <w:bCs/>
                <w:spacing w:val="-10"/>
                <w:sz w:val="21"/>
                <w:szCs w:val="21"/>
              </w:rPr>
              <w:t>1.2</w:t>
            </w:r>
          </w:p>
        </w:tc>
        <w:tc>
          <w:tcPr>
            <w:tcW w:w="13750" w:type="dxa"/>
            <w:gridSpan w:val="3"/>
            <w:vAlign w:val="center"/>
          </w:tcPr>
          <w:p>
            <w:pPr>
              <w:pStyle w:val="7"/>
              <w:spacing w:before="38" w:line="211" w:lineRule="auto"/>
              <w:ind w:left="62"/>
              <w:jc w:val="both"/>
              <w:rPr>
                <w:rFonts w:ascii="仿宋" w:hAnsi="仿宋" w:eastAsia="仿宋"/>
                <w:sz w:val="21"/>
                <w:szCs w:val="21"/>
                <w:lang w:eastAsia="zh-CN"/>
              </w:rPr>
            </w:pPr>
            <w:r>
              <w:rPr>
                <w:rFonts w:ascii="仿宋" w:hAnsi="仿宋" w:eastAsia="仿宋"/>
                <w:b/>
                <w:bCs/>
                <w:spacing w:val="-4"/>
                <w:sz w:val="21"/>
                <w:szCs w:val="21"/>
                <w:lang w:eastAsia="zh-CN"/>
              </w:rPr>
              <w:t>院系层面安全责任体系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709" w:type="dxa"/>
            <w:vAlign w:val="center"/>
          </w:tcPr>
          <w:p>
            <w:pPr>
              <w:pStyle w:val="7"/>
              <w:spacing w:before="59" w:line="182" w:lineRule="auto"/>
              <w:ind w:left="48"/>
              <w:jc w:val="both"/>
              <w:rPr>
                <w:rFonts w:ascii="Times New Roman" w:hAnsi="Times New Roman" w:cs="Times New Roman"/>
                <w:sz w:val="21"/>
                <w:szCs w:val="21"/>
              </w:rPr>
            </w:pPr>
            <w:r>
              <w:rPr>
                <w:rFonts w:ascii="Times New Roman" w:hAnsi="Times New Roman" w:cs="Times New Roman"/>
                <w:spacing w:val="-6"/>
                <w:sz w:val="21"/>
                <w:szCs w:val="21"/>
              </w:rPr>
              <w:t>1.2.1</w:t>
            </w:r>
          </w:p>
        </w:tc>
        <w:tc>
          <w:tcPr>
            <w:tcW w:w="3546" w:type="dxa"/>
            <w:vAlign w:val="center"/>
          </w:tcPr>
          <w:p>
            <w:pPr>
              <w:pStyle w:val="7"/>
              <w:spacing w:before="59" w:line="220" w:lineRule="auto"/>
              <w:ind w:left="58"/>
              <w:jc w:val="both"/>
              <w:rPr>
                <w:rFonts w:ascii="仿宋" w:hAnsi="仿宋" w:eastAsia="仿宋"/>
                <w:sz w:val="21"/>
                <w:szCs w:val="21"/>
                <w:lang w:eastAsia="zh-CN"/>
              </w:rPr>
            </w:pPr>
            <w:r>
              <w:rPr>
                <w:rFonts w:ascii="仿宋" w:hAnsi="仿宋" w:eastAsia="仿宋"/>
                <w:spacing w:val="-2"/>
                <w:sz w:val="21"/>
                <w:szCs w:val="21"/>
                <w:lang w:eastAsia="zh-CN"/>
              </w:rPr>
              <w:t>有院系实验室安全工作队伍</w:t>
            </w:r>
          </w:p>
        </w:tc>
        <w:tc>
          <w:tcPr>
            <w:tcW w:w="8078" w:type="dxa"/>
            <w:vAlign w:val="center"/>
          </w:tcPr>
          <w:p>
            <w:pPr>
              <w:pStyle w:val="7"/>
              <w:spacing w:before="82" w:line="230" w:lineRule="auto"/>
              <w:ind w:left="54" w:right="260"/>
              <w:jc w:val="both"/>
              <w:rPr>
                <w:rFonts w:ascii="仿宋" w:hAnsi="仿宋" w:eastAsia="仿宋"/>
                <w:sz w:val="21"/>
                <w:szCs w:val="21"/>
                <w:lang w:eastAsia="zh-CN"/>
              </w:rPr>
            </w:pPr>
            <w:r>
              <w:rPr>
                <w:rFonts w:ascii="仿宋" w:hAnsi="仿宋" w:eastAsia="仿宋"/>
                <w:spacing w:val="-1"/>
                <w:sz w:val="21"/>
                <w:szCs w:val="21"/>
                <w:lang w:eastAsia="zh-CN"/>
              </w:rPr>
              <w:t>(5)院系安全工作队伍由党政负责人、分管实验室安全的领导、院系实验室安</w:t>
            </w:r>
            <w:r>
              <w:rPr>
                <w:rFonts w:ascii="仿宋" w:hAnsi="仿宋" w:eastAsia="仿宋"/>
                <w:spacing w:val="-2"/>
                <w:sz w:val="21"/>
                <w:szCs w:val="21"/>
                <w:lang w:eastAsia="zh-CN"/>
              </w:rPr>
              <w:t>全助</w:t>
            </w:r>
            <w:r>
              <w:rPr>
                <w:rFonts w:ascii="仿宋" w:hAnsi="仿宋" w:eastAsia="仿宋"/>
                <w:spacing w:val="-1"/>
                <w:sz w:val="21"/>
                <w:szCs w:val="21"/>
                <w:lang w:eastAsia="zh-CN"/>
              </w:rPr>
              <w:t>理或安全主管、实验室负责人、实验室安全</w:t>
            </w:r>
            <w:r>
              <w:rPr>
                <w:rFonts w:ascii="仿宋" w:hAnsi="仿宋" w:eastAsia="仿宋"/>
                <w:spacing w:val="-2"/>
                <w:sz w:val="21"/>
                <w:szCs w:val="21"/>
                <w:lang w:eastAsia="zh-CN"/>
              </w:rPr>
              <w:t>员等共同组成</w:t>
            </w:r>
            <w:r>
              <w:rPr>
                <w:rFonts w:hint="eastAsia" w:ascii="仿宋" w:hAnsi="仿宋" w:eastAsia="仿宋"/>
                <w:spacing w:val="-2"/>
                <w:sz w:val="21"/>
                <w:szCs w:val="21"/>
                <w:lang w:eastAsia="zh-CN"/>
              </w:rPr>
              <w:t>。</w:t>
            </w:r>
          </w:p>
          <w:p>
            <w:pPr>
              <w:pStyle w:val="7"/>
              <w:spacing w:before="84" w:line="219" w:lineRule="auto"/>
              <w:ind w:right="319"/>
              <w:jc w:val="both"/>
              <w:rPr>
                <w:rFonts w:ascii="仿宋" w:hAnsi="仿宋" w:eastAsia="仿宋"/>
                <w:sz w:val="21"/>
                <w:szCs w:val="21"/>
                <w:lang w:eastAsia="zh-CN"/>
              </w:rPr>
            </w:pPr>
            <w:r>
              <w:rPr>
                <w:rFonts w:ascii="仿宋" w:hAnsi="仿宋" w:eastAsia="仿宋"/>
                <w:sz w:val="21"/>
                <w:szCs w:val="21"/>
                <w:lang w:eastAsia="zh-CN"/>
              </w:rPr>
              <w:t>(6)有带文号的院系文件，如党政联席会/办</w:t>
            </w:r>
            <w:r>
              <w:rPr>
                <w:rFonts w:ascii="仿宋" w:hAnsi="仿宋" w:eastAsia="仿宋"/>
                <w:spacing w:val="-1"/>
                <w:sz w:val="21"/>
                <w:szCs w:val="21"/>
                <w:lang w:eastAsia="zh-CN"/>
              </w:rPr>
              <w:t>公会等纪要、通知或制度等明确其内</w:t>
            </w:r>
            <w:r>
              <w:rPr>
                <w:rFonts w:ascii="仿宋" w:hAnsi="仿宋" w:eastAsia="仿宋"/>
                <w:sz w:val="21"/>
                <w:szCs w:val="21"/>
                <w:lang w:eastAsia="zh-CN"/>
              </w:rPr>
              <w:t>容</w:t>
            </w:r>
            <w:r>
              <w:rPr>
                <w:rFonts w:hint="eastAsia" w:ascii="仿宋" w:hAnsi="仿宋" w:eastAsia="仿宋"/>
                <w:sz w:val="21"/>
                <w:szCs w:val="21"/>
                <w:lang w:eastAsia="zh-CN"/>
              </w:rPr>
              <w:t>。</w:t>
            </w:r>
          </w:p>
        </w:tc>
        <w:tc>
          <w:tcPr>
            <w:tcW w:w="2126" w:type="dxa"/>
            <w:vAlign w:val="center"/>
          </w:tcPr>
          <w:p>
            <w:pPr>
              <w:jc w:val="both"/>
              <w:rPr>
                <w:rFonts w:ascii="仿宋" w:hAnsi="仿宋" w:eastAsia="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09" w:type="dxa"/>
            <w:vAlign w:val="center"/>
          </w:tcPr>
          <w:p>
            <w:pPr>
              <w:pStyle w:val="7"/>
              <w:spacing w:before="105" w:line="174" w:lineRule="auto"/>
              <w:ind w:left="48"/>
              <w:jc w:val="both"/>
              <w:rPr>
                <w:rFonts w:ascii="Times New Roman" w:hAnsi="Times New Roman" w:cs="Times New Roman"/>
                <w:sz w:val="21"/>
                <w:szCs w:val="21"/>
              </w:rPr>
            </w:pPr>
            <w:r>
              <w:rPr>
                <w:rFonts w:ascii="Times New Roman" w:hAnsi="Times New Roman" w:cs="Times New Roman"/>
                <w:spacing w:val="-6"/>
                <w:sz w:val="21"/>
                <w:szCs w:val="21"/>
              </w:rPr>
              <w:t>1.2.2</w:t>
            </w:r>
          </w:p>
        </w:tc>
        <w:tc>
          <w:tcPr>
            <w:tcW w:w="3546" w:type="dxa"/>
            <w:vAlign w:val="center"/>
          </w:tcPr>
          <w:p>
            <w:pPr>
              <w:pStyle w:val="7"/>
              <w:spacing w:before="63" w:line="217" w:lineRule="auto"/>
              <w:ind w:left="69"/>
              <w:jc w:val="both"/>
              <w:rPr>
                <w:rFonts w:ascii="仿宋" w:hAnsi="仿宋" w:eastAsia="仿宋"/>
                <w:sz w:val="21"/>
                <w:szCs w:val="21"/>
                <w:lang w:eastAsia="zh-CN"/>
              </w:rPr>
            </w:pPr>
            <w:r>
              <w:rPr>
                <w:rFonts w:ascii="仿宋" w:hAnsi="仿宋" w:eastAsia="仿宋"/>
                <w:spacing w:val="-2"/>
                <w:sz w:val="21"/>
                <w:szCs w:val="21"/>
                <w:lang w:eastAsia="zh-CN"/>
              </w:rPr>
              <w:t>院系签订实验室安全责任书</w:t>
            </w:r>
          </w:p>
        </w:tc>
        <w:tc>
          <w:tcPr>
            <w:tcW w:w="8078" w:type="dxa"/>
            <w:vAlign w:val="center"/>
          </w:tcPr>
          <w:p>
            <w:pPr>
              <w:pStyle w:val="7"/>
              <w:spacing w:before="63" w:line="217" w:lineRule="auto"/>
              <w:jc w:val="both"/>
              <w:rPr>
                <w:rFonts w:ascii="仿宋" w:hAnsi="仿宋" w:eastAsia="仿宋"/>
                <w:sz w:val="21"/>
                <w:szCs w:val="21"/>
                <w:lang w:eastAsia="zh-CN"/>
              </w:rPr>
            </w:pPr>
            <w:r>
              <w:rPr>
                <w:rFonts w:ascii="仿宋" w:hAnsi="仿宋" w:eastAsia="仿宋"/>
                <w:spacing w:val="-2"/>
                <w:sz w:val="21"/>
                <w:szCs w:val="21"/>
                <w:lang w:eastAsia="zh-CN"/>
              </w:rPr>
              <w:t>(7)院系签订责任书到实验房间安全责任人</w:t>
            </w:r>
            <w:r>
              <w:rPr>
                <w:rFonts w:hint="eastAsia" w:ascii="仿宋" w:hAnsi="仿宋" w:eastAsia="仿宋"/>
                <w:spacing w:val="-2"/>
                <w:sz w:val="21"/>
                <w:szCs w:val="21"/>
                <w:lang w:eastAsia="zh-CN"/>
              </w:rPr>
              <w:t>。</w:t>
            </w:r>
          </w:p>
        </w:tc>
        <w:tc>
          <w:tcPr>
            <w:tcW w:w="2126" w:type="dxa"/>
            <w:vAlign w:val="center"/>
          </w:tcPr>
          <w:p>
            <w:pPr>
              <w:jc w:val="both"/>
              <w:rPr>
                <w:rFonts w:ascii="仿宋" w:hAnsi="仿宋" w:eastAsia="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709" w:type="dxa"/>
            <w:vAlign w:val="center"/>
          </w:tcPr>
          <w:p>
            <w:pPr>
              <w:pStyle w:val="7"/>
              <w:spacing w:before="107" w:line="136" w:lineRule="exact"/>
              <w:ind w:left="51"/>
              <w:jc w:val="both"/>
              <w:rPr>
                <w:rFonts w:ascii="Times New Roman" w:hAnsi="Times New Roman" w:cs="Times New Roman"/>
                <w:sz w:val="21"/>
                <w:szCs w:val="21"/>
              </w:rPr>
            </w:pPr>
            <w:r>
              <w:rPr>
                <w:rFonts w:ascii="Times New Roman" w:hAnsi="Times New Roman" w:cs="Times New Roman"/>
                <w:b/>
                <w:bCs/>
                <w:spacing w:val="-10"/>
                <w:position w:val="-3"/>
                <w:sz w:val="21"/>
                <w:szCs w:val="21"/>
              </w:rPr>
              <w:t>1.3</w:t>
            </w:r>
          </w:p>
        </w:tc>
        <w:tc>
          <w:tcPr>
            <w:tcW w:w="13750" w:type="dxa"/>
            <w:gridSpan w:val="3"/>
            <w:vAlign w:val="center"/>
          </w:tcPr>
          <w:p>
            <w:pPr>
              <w:pStyle w:val="7"/>
              <w:spacing w:before="40" w:line="209" w:lineRule="auto"/>
              <w:ind w:left="55"/>
              <w:jc w:val="both"/>
              <w:rPr>
                <w:rFonts w:ascii="仿宋" w:hAnsi="仿宋" w:eastAsia="仿宋"/>
                <w:sz w:val="21"/>
                <w:szCs w:val="21"/>
                <w:lang w:eastAsia="zh-CN"/>
              </w:rPr>
            </w:pPr>
            <w:r>
              <w:rPr>
                <w:rFonts w:ascii="仿宋" w:hAnsi="仿宋" w:eastAsia="仿宋"/>
                <w:b/>
                <w:bCs/>
                <w:spacing w:val="-3"/>
                <w:sz w:val="21"/>
                <w:szCs w:val="21"/>
                <w:lang w:eastAsia="zh-CN"/>
              </w:rPr>
              <w:t>实验室层面安全责任体系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2" w:hRule="atLeast"/>
        </w:trPr>
        <w:tc>
          <w:tcPr>
            <w:tcW w:w="709" w:type="dxa"/>
            <w:vAlign w:val="center"/>
          </w:tcPr>
          <w:p>
            <w:pPr>
              <w:pStyle w:val="7"/>
              <w:spacing w:before="59" w:line="182" w:lineRule="auto"/>
              <w:ind w:left="48"/>
              <w:jc w:val="both"/>
              <w:rPr>
                <w:rFonts w:ascii="Times New Roman" w:hAnsi="Times New Roman" w:cs="Times New Roman"/>
                <w:sz w:val="21"/>
                <w:szCs w:val="21"/>
              </w:rPr>
            </w:pPr>
            <w:r>
              <w:rPr>
                <w:rFonts w:ascii="Times New Roman" w:hAnsi="Times New Roman" w:cs="Times New Roman"/>
                <w:spacing w:val="-6"/>
                <w:sz w:val="21"/>
                <w:szCs w:val="21"/>
              </w:rPr>
              <w:t>1.3.1</w:t>
            </w:r>
          </w:p>
        </w:tc>
        <w:tc>
          <w:tcPr>
            <w:tcW w:w="3546" w:type="dxa"/>
            <w:vAlign w:val="center"/>
          </w:tcPr>
          <w:p>
            <w:pPr>
              <w:pStyle w:val="7"/>
              <w:spacing w:before="59" w:line="220" w:lineRule="auto"/>
              <w:ind w:left="74"/>
              <w:jc w:val="both"/>
              <w:rPr>
                <w:rFonts w:ascii="仿宋" w:hAnsi="仿宋" w:eastAsia="仿宋"/>
                <w:sz w:val="21"/>
                <w:szCs w:val="21"/>
                <w:lang w:eastAsia="zh-CN"/>
              </w:rPr>
            </w:pPr>
            <w:r>
              <w:rPr>
                <w:rFonts w:ascii="仿宋" w:hAnsi="仿宋" w:eastAsia="仿宋"/>
                <w:spacing w:val="-2"/>
                <w:sz w:val="21"/>
                <w:szCs w:val="21"/>
                <w:lang w:eastAsia="zh-CN"/>
              </w:rPr>
              <w:t>明确实验室层面各级责任人及其职责</w:t>
            </w:r>
          </w:p>
        </w:tc>
        <w:tc>
          <w:tcPr>
            <w:tcW w:w="8078" w:type="dxa"/>
            <w:vAlign w:val="center"/>
          </w:tcPr>
          <w:p>
            <w:pPr>
              <w:pStyle w:val="7"/>
              <w:spacing w:before="83" w:line="252" w:lineRule="auto"/>
              <w:ind w:left="42" w:right="119"/>
              <w:jc w:val="both"/>
              <w:rPr>
                <w:rFonts w:ascii="仿宋" w:hAnsi="仿宋" w:eastAsia="仿宋"/>
                <w:sz w:val="21"/>
                <w:szCs w:val="21"/>
                <w:lang w:eastAsia="zh-CN"/>
              </w:rPr>
            </w:pPr>
            <w:r>
              <w:rPr>
                <w:rFonts w:ascii="仿宋" w:hAnsi="仿宋" w:eastAsia="仿宋"/>
                <w:spacing w:val="-2"/>
                <w:sz w:val="21"/>
                <w:szCs w:val="21"/>
                <w:lang w:eastAsia="zh-CN"/>
              </w:rPr>
              <w:t>(8)实验室负责人是本实验室安全工作的直接责任人，应严格落实实验室安全</w:t>
            </w:r>
            <w:r>
              <w:rPr>
                <w:rFonts w:ascii="仿宋" w:hAnsi="仿宋" w:eastAsia="仿宋"/>
                <w:spacing w:val="-3"/>
                <w:sz w:val="21"/>
                <w:szCs w:val="21"/>
                <w:lang w:eastAsia="zh-CN"/>
              </w:rPr>
              <w:t>准入，</w:t>
            </w:r>
            <w:r>
              <w:rPr>
                <w:rFonts w:ascii="仿宋" w:hAnsi="仿宋" w:eastAsia="仿宋"/>
                <w:sz w:val="21"/>
                <w:szCs w:val="21"/>
                <w:lang w:eastAsia="zh-CN"/>
              </w:rPr>
              <w:t>隐患整改、个人防护等日常安全管理工作，切实保障实验室安全；项目负责人(含教学课程任课教师)是项目安全的第一责任人，须对项目进行危险源辨识和风险评估，并制定防范措施及现场处置方案；实验室负</w:t>
            </w:r>
            <w:r>
              <w:rPr>
                <w:rFonts w:ascii="仿宋" w:hAnsi="仿宋" w:eastAsia="仿宋"/>
                <w:spacing w:val="-1"/>
                <w:sz w:val="21"/>
                <w:szCs w:val="21"/>
                <w:lang w:eastAsia="zh-CN"/>
              </w:rPr>
              <w:t>责人应指定安全员，负责本实验室</w:t>
            </w:r>
            <w:r>
              <w:rPr>
                <w:rFonts w:ascii="仿宋" w:hAnsi="仿宋" w:eastAsia="仿宋"/>
                <w:sz w:val="21"/>
                <w:szCs w:val="21"/>
                <w:lang w:eastAsia="zh-CN"/>
              </w:rPr>
              <w:t>日常安全管理</w:t>
            </w:r>
            <w:r>
              <w:rPr>
                <w:rFonts w:hint="eastAsia" w:ascii="仿宋" w:hAnsi="仿宋" w:eastAsia="仿宋"/>
                <w:sz w:val="21"/>
                <w:szCs w:val="21"/>
                <w:lang w:eastAsia="zh-CN"/>
              </w:rPr>
              <w:t>。</w:t>
            </w:r>
          </w:p>
        </w:tc>
        <w:tc>
          <w:tcPr>
            <w:tcW w:w="2126" w:type="dxa"/>
            <w:vAlign w:val="center"/>
          </w:tcPr>
          <w:p>
            <w:pPr>
              <w:jc w:val="both"/>
              <w:rPr>
                <w:rFonts w:ascii="仿宋" w:hAnsi="仿宋" w:eastAsia="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709" w:type="dxa"/>
            <w:vAlign w:val="center"/>
          </w:tcPr>
          <w:p>
            <w:pPr>
              <w:pStyle w:val="7"/>
              <w:spacing w:before="101" w:line="168" w:lineRule="auto"/>
              <w:ind w:left="48"/>
              <w:jc w:val="both"/>
              <w:rPr>
                <w:rFonts w:ascii="Times New Roman" w:hAnsi="Times New Roman" w:cs="Times New Roman"/>
                <w:sz w:val="21"/>
                <w:szCs w:val="21"/>
              </w:rPr>
            </w:pPr>
            <w:r>
              <w:rPr>
                <w:rFonts w:ascii="Times New Roman" w:hAnsi="Times New Roman" w:cs="Times New Roman"/>
                <w:spacing w:val="-6"/>
                <w:sz w:val="21"/>
                <w:szCs w:val="21"/>
              </w:rPr>
              <w:t>1.3.2</w:t>
            </w:r>
          </w:p>
        </w:tc>
        <w:tc>
          <w:tcPr>
            <w:tcW w:w="3546" w:type="dxa"/>
            <w:vAlign w:val="center"/>
          </w:tcPr>
          <w:p>
            <w:pPr>
              <w:pStyle w:val="7"/>
              <w:spacing w:before="62" w:line="208" w:lineRule="auto"/>
              <w:ind w:left="62"/>
              <w:jc w:val="both"/>
              <w:rPr>
                <w:rFonts w:ascii="仿宋" w:hAnsi="仿宋" w:eastAsia="仿宋"/>
                <w:sz w:val="21"/>
                <w:szCs w:val="21"/>
                <w:lang w:eastAsia="zh-CN"/>
              </w:rPr>
            </w:pPr>
            <w:r>
              <w:rPr>
                <w:rFonts w:ascii="仿宋" w:hAnsi="仿宋" w:eastAsia="仿宋"/>
                <w:spacing w:val="-1"/>
                <w:sz w:val="21"/>
                <w:szCs w:val="21"/>
                <w:lang w:eastAsia="zh-CN"/>
              </w:rPr>
              <w:t>实验室层面签订实验室安全责任书</w:t>
            </w:r>
          </w:p>
        </w:tc>
        <w:tc>
          <w:tcPr>
            <w:tcW w:w="8078" w:type="dxa"/>
            <w:vAlign w:val="center"/>
          </w:tcPr>
          <w:p>
            <w:pPr>
              <w:pStyle w:val="7"/>
              <w:spacing w:before="62" w:line="208" w:lineRule="auto"/>
              <w:jc w:val="both"/>
              <w:rPr>
                <w:rFonts w:ascii="仿宋" w:hAnsi="仿宋" w:eastAsia="仿宋"/>
                <w:sz w:val="21"/>
                <w:szCs w:val="21"/>
                <w:lang w:eastAsia="zh-CN"/>
              </w:rPr>
            </w:pPr>
            <w:r>
              <w:rPr>
                <w:rFonts w:ascii="仿宋" w:hAnsi="仿宋" w:eastAsia="仿宋"/>
                <w:spacing w:val="-2"/>
                <w:sz w:val="21"/>
                <w:szCs w:val="21"/>
                <w:lang w:eastAsia="zh-CN"/>
              </w:rPr>
              <w:t>(9)实验室负责人与相关实验人员签订实验室安全责任书</w:t>
            </w:r>
            <w:r>
              <w:rPr>
                <w:rFonts w:hint="eastAsia" w:ascii="仿宋" w:hAnsi="仿宋" w:eastAsia="仿宋"/>
                <w:spacing w:val="-2"/>
                <w:sz w:val="21"/>
                <w:szCs w:val="21"/>
                <w:lang w:eastAsia="zh-CN"/>
              </w:rPr>
              <w:t>。</w:t>
            </w:r>
          </w:p>
        </w:tc>
        <w:tc>
          <w:tcPr>
            <w:tcW w:w="2126" w:type="dxa"/>
            <w:vAlign w:val="center"/>
          </w:tcPr>
          <w:p>
            <w:pPr>
              <w:jc w:val="both"/>
              <w:rPr>
                <w:rFonts w:ascii="仿宋" w:hAnsi="仿宋" w:eastAsia="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709" w:type="dxa"/>
            <w:vAlign w:val="center"/>
          </w:tcPr>
          <w:p>
            <w:pPr>
              <w:pStyle w:val="7"/>
              <w:spacing w:before="90" w:line="167" w:lineRule="auto"/>
              <w:ind w:left="51"/>
              <w:jc w:val="both"/>
              <w:rPr>
                <w:rFonts w:ascii="Times New Roman" w:hAnsi="Times New Roman" w:cs="Times New Roman"/>
                <w:sz w:val="21"/>
                <w:szCs w:val="21"/>
              </w:rPr>
            </w:pPr>
            <w:r>
              <w:rPr>
                <w:rFonts w:ascii="Times New Roman" w:hAnsi="Times New Roman" w:cs="Times New Roman"/>
                <w:b/>
                <w:bCs/>
                <w:spacing w:val="-10"/>
                <w:sz w:val="21"/>
                <w:szCs w:val="21"/>
              </w:rPr>
              <w:t>1.4</w:t>
            </w:r>
          </w:p>
        </w:tc>
        <w:tc>
          <w:tcPr>
            <w:tcW w:w="13750" w:type="dxa"/>
            <w:gridSpan w:val="3"/>
            <w:vAlign w:val="center"/>
          </w:tcPr>
          <w:p>
            <w:pPr>
              <w:pStyle w:val="7"/>
              <w:spacing w:before="51" w:line="207" w:lineRule="auto"/>
              <w:ind w:left="54"/>
              <w:jc w:val="both"/>
              <w:rPr>
                <w:rFonts w:ascii="仿宋" w:hAnsi="仿宋" w:eastAsia="仿宋"/>
                <w:sz w:val="21"/>
                <w:szCs w:val="21"/>
              </w:rPr>
            </w:pPr>
            <w:r>
              <w:rPr>
                <w:rFonts w:ascii="仿宋" w:hAnsi="仿宋" w:eastAsia="仿宋"/>
                <w:b/>
                <w:bCs/>
                <w:spacing w:val="-4"/>
                <w:sz w:val="21"/>
                <w:szCs w:val="21"/>
              </w:rPr>
              <w:t>安全工作奖惩机制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709" w:type="dxa"/>
            <w:vAlign w:val="center"/>
          </w:tcPr>
          <w:p>
            <w:pPr>
              <w:pStyle w:val="7"/>
              <w:spacing w:before="115" w:line="141" w:lineRule="exact"/>
              <w:ind w:left="48"/>
              <w:jc w:val="both"/>
              <w:rPr>
                <w:rFonts w:ascii="Times New Roman" w:hAnsi="Times New Roman" w:cs="Times New Roman"/>
                <w:sz w:val="21"/>
                <w:szCs w:val="21"/>
              </w:rPr>
            </w:pPr>
            <w:r>
              <w:rPr>
                <w:rFonts w:ascii="Times New Roman" w:hAnsi="Times New Roman" w:cs="Times New Roman"/>
                <w:spacing w:val="-6"/>
                <w:position w:val="-1"/>
                <w:sz w:val="21"/>
                <w:szCs w:val="21"/>
              </w:rPr>
              <w:t>1.4.1</w:t>
            </w:r>
          </w:p>
        </w:tc>
        <w:tc>
          <w:tcPr>
            <w:tcW w:w="3546" w:type="dxa"/>
            <w:vAlign w:val="center"/>
          </w:tcPr>
          <w:p>
            <w:pPr>
              <w:pStyle w:val="7"/>
              <w:spacing w:before="47" w:line="214" w:lineRule="auto"/>
              <w:ind w:left="59"/>
              <w:jc w:val="both"/>
              <w:rPr>
                <w:rFonts w:ascii="仿宋" w:hAnsi="仿宋" w:eastAsia="仿宋"/>
                <w:sz w:val="21"/>
                <w:szCs w:val="21"/>
                <w:lang w:eastAsia="zh-CN"/>
              </w:rPr>
            </w:pPr>
            <w:r>
              <w:rPr>
                <w:rFonts w:ascii="仿宋" w:hAnsi="仿宋" w:eastAsia="仿宋"/>
                <w:spacing w:val="-2"/>
                <w:sz w:val="21"/>
                <w:szCs w:val="21"/>
                <w:lang w:eastAsia="zh-CN"/>
              </w:rPr>
              <w:t>奖惩机制落实到岗位或个人</w:t>
            </w:r>
          </w:p>
        </w:tc>
        <w:tc>
          <w:tcPr>
            <w:tcW w:w="8078" w:type="dxa"/>
            <w:vAlign w:val="center"/>
          </w:tcPr>
          <w:p>
            <w:pPr>
              <w:pStyle w:val="7"/>
              <w:spacing w:before="47" w:line="214" w:lineRule="auto"/>
              <w:ind w:left="83"/>
              <w:jc w:val="both"/>
              <w:rPr>
                <w:rFonts w:ascii="仿宋" w:hAnsi="仿宋" w:eastAsia="仿宋"/>
                <w:sz w:val="21"/>
                <w:szCs w:val="21"/>
                <w:lang w:eastAsia="zh-CN"/>
              </w:rPr>
            </w:pPr>
            <w:r>
              <w:rPr>
                <w:rFonts w:ascii="仿宋" w:hAnsi="仿宋" w:eastAsia="仿宋"/>
                <w:spacing w:val="-2"/>
                <w:sz w:val="21"/>
                <w:szCs w:val="21"/>
                <w:lang w:eastAsia="zh-CN"/>
              </w:rPr>
              <w:t>(10)是否有明确的奖惩管理办法，以及实际执行情况</w:t>
            </w:r>
            <w:r>
              <w:rPr>
                <w:rFonts w:hint="eastAsia" w:ascii="仿宋" w:hAnsi="仿宋" w:eastAsia="仿宋"/>
                <w:spacing w:val="-2"/>
                <w:sz w:val="21"/>
                <w:szCs w:val="21"/>
                <w:lang w:eastAsia="zh-CN"/>
              </w:rPr>
              <w:t>。</w:t>
            </w:r>
          </w:p>
        </w:tc>
        <w:tc>
          <w:tcPr>
            <w:tcW w:w="2126" w:type="dxa"/>
            <w:vAlign w:val="center"/>
          </w:tcPr>
          <w:p>
            <w:pPr>
              <w:jc w:val="both"/>
              <w:rPr>
                <w:rFonts w:ascii="仿宋" w:hAnsi="仿宋" w:eastAsia="仿宋"/>
                <w:lang w:eastAsia="zh-CN"/>
              </w:rPr>
            </w:pPr>
          </w:p>
        </w:tc>
      </w:tr>
    </w:tbl>
    <w:p>
      <w:pPr>
        <w:rPr>
          <w:lang w:eastAsia="zh-CN"/>
        </w:rPr>
        <w:sectPr>
          <w:footerReference r:id="rId3" w:type="default"/>
          <w:pgSz w:w="16841" w:h="11912"/>
          <w:pgMar w:top="1012" w:right="2526" w:bottom="1234" w:left="1841" w:header="0" w:footer="1100" w:gutter="0"/>
          <w:cols w:space="720" w:num="1"/>
        </w:sectPr>
      </w:pPr>
    </w:p>
    <w:tbl>
      <w:tblPr>
        <w:tblStyle w:val="6"/>
        <w:tblpPr w:leftFromText="180" w:rightFromText="180" w:vertAnchor="text" w:horzAnchor="page" w:tblpX="1079" w:tblpY="-7"/>
        <w:tblOverlap w:val="never"/>
        <w:tblW w:w="143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3480"/>
        <w:gridCol w:w="8055"/>
        <w:gridCol w:w="21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705" w:type="dxa"/>
          </w:tcPr>
          <w:p>
            <w:pPr>
              <w:pStyle w:val="7"/>
              <w:spacing w:before="36" w:line="223" w:lineRule="auto"/>
              <w:rPr>
                <w:rFonts w:ascii="黑体" w:hAnsi="黑体" w:eastAsia="黑体" w:cs="黑体"/>
                <w:sz w:val="21"/>
                <w:szCs w:val="21"/>
              </w:rPr>
            </w:pPr>
            <w:r>
              <w:rPr>
                <w:rFonts w:hint="eastAsia" w:ascii="黑体" w:hAnsi="黑体" w:eastAsia="黑体" w:cs="黑体"/>
                <w:b/>
                <w:bCs/>
                <w:spacing w:val="3"/>
                <w:sz w:val="21"/>
                <w:szCs w:val="21"/>
              </w:rPr>
              <w:t>序号</w:t>
            </w:r>
          </w:p>
        </w:tc>
        <w:tc>
          <w:tcPr>
            <w:tcW w:w="3480" w:type="dxa"/>
          </w:tcPr>
          <w:p>
            <w:pPr>
              <w:pStyle w:val="7"/>
              <w:spacing w:before="36" w:line="223" w:lineRule="auto"/>
              <w:ind w:left="41"/>
              <w:rPr>
                <w:rFonts w:ascii="黑体" w:hAnsi="黑体" w:eastAsia="黑体" w:cs="黑体"/>
                <w:b/>
                <w:bCs/>
                <w:sz w:val="21"/>
                <w:szCs w:val="21"/>
              </w:rPr>
            </w:pPr>
            <w:r>
              <w:rPr>
                <w:rFonts w:hint="eastAsia" w:ascii="黑体" w:hAnsi="黑体" w:eastAsia="黑体" w:cs="黑体"/>
                <w:b/>
                <w:bCs/>
                <w:spacing w:val="10"/>
                <w:sz w:val="21"/>
                <w:szCs w:val="21"/>
              </w:rPr>
              <w:t>检查项目</w:t>
            </w:r>
          </w:p>
        </w:tc>
        <w:tc>
          <w:tcPr>
            <w:tcW w:w="8055" w:type="dxa"/>
          </w:tcPr>
          <w:p>
            <w:pPr>
              <w:pStyle w:val="7"/>
              <w:spacing w:before="45" w:line="216" w:lineRule="auto"/>
              <w:ind w:left="83"/>
              <w:jc w:val="both"/>
              <w:rPr>
                <w:rFonts w:ascii="黑体" w:hAnsi="黑体" w:eastAsia="黑体" w:cs="黑体"/>
                <w:b/>
                <w:bCs/>
                <w:spacing w:val="1"/>
                <w:sz w:val="21"/>
                <w:szCs w:val="21"/>
                <w:lang w:eastAsia="zh-CN"/>
              </w:rPr>
            </w:pPr>
            <w:r>
              <w:rPr>
                <w:rFonts w:hint="eastAsia" w:ascii="黑体" w:hAnsi="黑体" w:eastAsia="黑体" w:cs="黑体"/>
                <w:b/>
                <w:bCs/>
                <w:spacing w:val="1"/>
                <w:sz w:val="21"/>
                <w:szCs w:val="21"/>
                <w:lang w:eastAsia="zh-CN"/>
              </w:rPr>
              <w:t>检查要点</w:t>
            </w:r>
          </w:p>
        </w:tc>
        <w:tc>
          <w:tcPr>
            <w:tcW w:w="2145" w:type="dxa"/>
          </w:tcPr>
          <w:p>
            <w:pPr>
              <w:pStyle w:val="7"/>
              <w:spacing w:before="36" w:line="223" w:lineRule="auto"/>
              <w:ind w:left="43"/>
              <w:rPr>
                <w:rFonts w:ascii="黑体" w:hAnsi="黑体" w:eastAsia="黑体" w:cs="黑体"/>
                <w:sz w:val="21"/>
                <w:szCs w:val="21"/>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0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1.4.2</w:t>
            </w:r>
          </w:p>
        </w:tc>
        <w:tc>
          <w:tcPr>
            <w:tcW w:w="3480" w:type="dxa"/>
          </w:tcPr>
          <w:p>
            <w:pPr>
              <w:pStyle w:val="7"/>
              <w:spacing w:before="54" w:line="226" w:lineRule="auto"/>
              <w:ind w:left="40"/>
              <w:rPr>
                <w:rFonts w:ascii="仿宋" w:hAnsi="仿宋" w:eastAsia="仿宋" w:cs="仿宋"/>
                <w:sz w:val="21"/>
                <w:szCs w:val="21"/>
                <w:lang w:eastAsia="zh-CN"/>
              </w:rPr>
            </w:pPr>
            <w:r>
              <w:rPr>
                <w:rFonts w:hint="eastAsia" w:ascii="仿宋" w:hAnsi="仿宋" w:eastAsia="仿宋" w:cs="仿宋"/>
                <w:spacing w:val="8"/>
                <w:sz w:val="21"/>
                <w:szCs w:val="21"/>
                <w:lang w:eastAsia="zh-CN"/>
              </w:rPr>
              <w:t>依法依规进行事故调查和责任追究</w:t>
            </w:r>
          </w:p>
        </w:tc>
        <w:tc>
          <w:tcPr>
            <w:tcW w:w="805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(11)检查事故调查执行情况。</w:t>
            </w:r>
          </w:p>
        </w:tc>
        <w:tc>
          <w:tcPr>
            <w:tcW w:w="2145"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705"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1.5</w:t>
            </w:r>
          </w:p>
        </w:tc>
        <w:tc>
          <w:tcPr>
            <w:tcW w:w="13680" w:type="dxa"/>
            <w:gridSpan w:val="3"/>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经费保障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70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1.5.1</w:t>
            </w:r>
          </w:p>
        </w:tc>
        <w:tc>
          <w:tcPr>
            <w:tcW w:w="3480" w:type="dxa"/>
          </w:tcPr>
          <w:p>
            <w:pPr>
              <w:pStyle w:val="7"/>
              <w:spacing w:before="36" w:line="225" w:lineRule="auto"/>
              <w:ind w:left="42"/>
              <w:rPr>
                <w:rFonts w:ascii="仿宋" w:hAnsi="仿宋" w:eastAsia="仿宋" w:cs="仿宋"/>
                <w:sz w:val="21"/>
                <w:szCs w:val="21"/>
                <w:lang w:eastAsia="zh-CN"/>
              </w:rPr>
            </w:pPr>
            <w:r>
              <w:rPr>
                <w:rFonts w:hint="eastAsia" w:ascii="仿宋" w:hAnsi="仿宋" w:eastAsia="仿宋" w:cs="仿宋"/>
                <w:spacing w:val="9"/>
                <w:sz w:val="21"/>
                <w:szCs w:val="21"/>
                <w:lang w:eastAsia="zh-CN"/>
              </w:rPr>
              <w:t>学</w:t>
            </w:r>
            <w:r>
              <w:rPr>
                <w:rFonts w:hint="eastAsia" w:ascii="仿宋" w:hAnsi="仿宋" w:eastAsia="仿宋"/>
                <w:spacing w:val="-2"/>
                <w:sz w:val="21"/>
                <w:szCs w:val="21"/>
                <w:lang w:eastAsia="zh-CN"/>
              </w:rPr>
              <w:t>校每年有实验室安全常规经费预算</w:t>
            </w:r>
          </w:p>
        </w:tc>
        <w:tc>
          <w:tcPr>
            <w:tcW w:w="805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(12)学校职能部门有预算审批凭据证明有专款用于实验室安全工作。</w:t>
            </w:r>
          </w:p>
        </w:tc>
        <w:tc>
          <w:tcPr>
            <w:tcW w:w="2145" w:type="dxa"/>
          </w:tcPr>
          <w:p>
            <w:pPr>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0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1.5.2</w:t>
            </w:r>
          </w:p>
        </w:tc>
        <w:tc>
          <w:tcPr>
            <w:tcW w:w="3480" w:type="dxa"/>
          </w:tcPr>
          <w:p>
            <w:pPr>
              <w:pStyle w:val="7"/>
              <w:spacing w:before="95" w:line="224" w:lineRule="auto"/>
              <w:ind w:left="40" w:right="3" w:firstLine="1"/>
              <w:rPr>
                <w:rFonts w:ascii="仿宋" w:hAnsi="仿宋" w:eastAsia="仿宋" w:cs="仿宋"/>
                <w:sz w:val="21"/>
                <w:szCs w:val="21"/>
                <w:lang w:eastAsia="zh-CN"/>
              </w:rPr>
            </w:pPr>
            <w:r>
              <w:rPr>
                <w:rFonts w:hint="eastAsia" w:ascii="仿宋" w:hAnsi="仿宋" w:eastAsia="仿宋" w:cs="仿宋"/>
                <w:spacing w:val="3"/>
                <w:sz w:val="21"/>
                <w:szCs w:val="21"/>
                <w:lang w:eastAsia="zh-CN"/>
              </w:rPr>
              <w:t>学校有专项经费投入实验室安全工作，重</w:t>
            </w:r>
            <w:r>
              <w:rPr>
                <w:rFonts w:hint="eastAsia" w:ascii="仿宋" w:hAnsi="仿宋" w:eastAsia="仿宋" w:cs="仿宋"/>
                <w:spacing w:val="8"/>
                <w:sz w:val="21"/>
                <w:szCs w:val="21"/>
                <w:lang w:eastAsia="zh-CN"/>
              </w:rPr>
              <w:t>大安全隐患整改经费能够落实</w:t>
            </w:r>
          </w:p>
        </w:tc>
        <w:tc>
          <w:tcPr>
            <w:tcW w:w="805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(13)学校职能部门有支出凭据证明有专款用于实验室安全工作，尤其是用于重大安全隐患整改项目。</w:t>
            </w:r>
          </w:p>
        </w:tc>
        <w:tc>
          <w:tcPr>
            <w:tcW w:w="2145" w:type="dxa"/>
          </w:tcPr>
          <w:p>
            <w:pPr>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0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1.5.3</w:t>
            </w:r>
          </w:p>
        </w:tc>
        <w:tc>
          <w:tcPr>
            <w:tcW w:w="3480" w:type="dxa"/>
          </w:tcPr>
          <w:p>
            <w:pPr>
              <w:pStyle w:val="7"/>
              <w:spacing w:before="80" w:line="223" w:lineRule="auto"/>
              <w:ind w:left="42" w:right="114" w:hanging="13"/>
              <w:rPr>
                <w:rFonts w:ascii="仿宋" w:hAnsi="仿宋" w:eastAsia="仿宋" w:cs="仿宋"/>
                <w:sz w:val="21"/>
                <w:szCs w:val="21"/>
                <w:lang w:eastAsia="zh-CN"/>
              </w:rPr>
            </w:pPr>
            <w:r>
              <w:rPr>
                <w:rFonts w:hint="eastAsia" w:ascii="仿宋" w:hAnsi="仿宋" w:eastAsia="仿宋" w:cs="仿宋"/>
                <w:spacing w:val="8"/>
                <w:sz w:val="21"/>
                <w:szCs w:val="21"/>
                <w:lang w:eastAsia="zh-CN"/>
              </w:rPr>
              <w:t>院</w:t>
            </w:r>
            <w:r>
              <w:rPr>
                <w:rFonts w:hint="eastAsia" w:ascii="仿宋" w:hAnsi="仿宋" w:eastAsia="仿宋"/>
                <w:spacing w:val="-1"/>
                <w:sz w:val="21"/>
                <w:szCs w:val="21"/>
                <w:lang w:eastAsia="zh-CN"/>
              </w:rPr>
              <w:t>系有自筹经费投入实验室安全建设与管理</w:t>
            </w:r>
          </w:p>
        </w:tc>
        <w:tc>
          <w:tcPr>
            <w:tcW w:w="805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(14)院系有支出凭据证明有专款用于实验室安全工作。</w:t>
            </w:r>
          </w:p>
        </w:tc>
        <w:tc>
          <w:tcPr>
            <w:tcW w:w="2145" w:type="dxa"/>
          </w:tcPr>
          <w:p>
            <w:pPr>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705"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1.6</w:t>
            </w:r>
          </w:p>
        </w:tc>
        <w:tc>
          <w:tcPr>
            <w:tcW w:w="13680"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队伍建设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705"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1.6.1</w:t>
            </w:r>
          </w:p>
        </w:tc>
        <w:tc>
          <w:tcPr>
            <w:tcW w:w="348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学校根据需要配备专职或兼职的实验室安全管理人员</w:t>
            </w:r>
          </w:p>
        </w:tc>
        <w:tc>
          <w:tcPr>
            <w:tcW w:w="805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(15)有重要危险源，即有毒有害(剧毒、易制爆、易制毒、爆炸品等)化学品、危险(易燃、易爆、有毒、窒息、高压等)气体、动物及病原微生物、辐射源及射线装置、同位素及核材料、危险性机械加工装置、强电强磁与激光设备、特种设备等的高校应依据工作量，在校级管理机构配备足够的专职实验室安全管理人员。</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(16)有重要危险源的院系应依据工作量配备专职实验室安全管理人员；文、管，艺术类、数学及信息等相关院系配备兼职实验室安全管理人员。</w:t>
            </w:r>
          </w:p>
        </w:tc>
        <w:tc>
          <w:tcPr>
            <w:tcW w:w="2145" w:type="dxa"/>
          </w:tcPr>
          <w:p>
            <w:pPr>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705"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1.6.2</w:t>
            </w:r>
          </w:p>
        </w:tc>
        <w:tc>
          <w:tcPr>
            <w:tcW w:w="348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有校级实验室安全检查队伍，可以由教师、实验技术人员组成，也可以利用有相关专业能力的社会力量</w:t>
            </w:r>
          </w:p>
        </w:tc>
        <w:tc>
          <w:tcPr>
            <w:tcW w:w="8055" w:type="dxa"/>
          </w:tcPr>
          <w:p>
            <w:pPr>
              <w:spacing w:line="266" w:lineRule="auto"/>
              <w:rPr>
                <w:rFonts w:ascii="仿宋" w:hAnsi="仿宋" w:eastAsia="仿宋" w:cs="宋体"/>
                <w:spacing w:val="1"/>
                <w:lang w:eastAsia="zh-CN"/>
              </w:rPr>
            </w:pPr>
          </w:p>
          <w:p>
            <w:pPr>
              <w:pStyle w:val="7"/>
              <w:spacing w:before="58" w:line="229" w:lineRule="auto"/>
              <w:ind w:left="106"/>
              <w:rPr>
                <w:rFonts w:ascii="仿宋" w:hAnsi="仿宋" w:eastAsia="仿宋"/>
                <w:spacing w:val="1"/>
                <w:sz w:val="21"/>
                <w:szCs w:val="21"/>
                <w:lang w:eastAsia="zh-CN"/>
              </w:rPr>
            </w:pPr>
            <w:r>
              <w:rPr>
                <w:rFonts w:hint="eastAsia" w:ascii="仿宋" w:hAnsi="仿宋" w:eastAsia="仿宋"/>
                <w:spacing w:val="1"/>
                <w:sz w:val="21"/>
                <w:szCs w:val="21"/>
                <w:lang w:eastAsia="zh-CN"/>
              </w:rPr>
              <w:t>(1</w:t>
            </w:r>
            <w:r>
              <w:rPr>
                <w:rFonts w:hint="eastAsia" w:ascii="仿宋" w:hAnsi="仿宋" w:eastAsia="仿宋"/>
                <w:spacing w:val="-1"/>
                <w:sz w:val="21"/>
                <w:szCs w:val="21"/>
                <w:lang w:eastAsia="zh-CN"/>
              </w:rPr>
              <w:t>7)有文件证明学校设立了检查队伍，并有工作记录。</w:t>
            </w:r>
          </w:p>
        </w:tc>
        <w:tc>
          <w:tcPr>
            <w:tcW w:w="2145" w:type="dxa"/>
          </w:tcPr>
          <w:p>
            <w:pPr>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05"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1.6.3</w:t>
            </w:r>
          </w:p>
        </w:tc>
        <w:tc>
          <w:tcPr>
            <w:tcW w:w="348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各级主管实验室安全的负责人、管理人员及技术人员到岗一年内须接受实验室安全培训</w:t>
            </w:r>
          </w:p>
        </w:tc>
        <w:tc>
          <w:tcPr>
            <w:tcW w:w="8055" w:type="dxa"/>
          </w:tcPr>
          <w:p>
            <w:pPr>
              <w:spacing w:line="256" w:lineRule="auto"/>
              <w:rPr>
                <w:rFonts w:ascii="仿宋" w:hAnsi="仿宋" w:eastAsia="仿宋" w:cs="宋体"/>
                <w:spacing w:val="1"/>
                <w:lang w:eastAsia="zh-CN"/>
              </w:rPr>
            </w:pPr>
          </w:p>
          <w:p>
            <w:pPr>
              <w:pStyle w:val="7"/>
              <w:spacing w:before="59" w:line="229" w:lineRule="auto"/>
              <w:ind w:left="106"/>
              <w:rPr>
                <w:rFonts w:ascii="仿宋" w:hAnsi="仿宋" w:eastAsia="仿宋"/>
                <w:spacing w:val="1"/>
                <w:sz w:val="21"/>
                <w:szCs w:val="21"/>
                <w:lang w:eastAsia="zh-CN"/>
              </w:rPr>
            </w:pPr>
            <w:r>
              <w:rPr>
                <w:rFonts w:hint="eastAsia" w:ascii="仿宋" w:hAnsi="仿宋" w:eastAsia="仿宋"/>
                <w:spacing w:val="1"/>
                <w:sz w:val="21"/>
                <w:szCs w:val="21"/>
                <w:lang w:eastAsia="zh-CN"/>
              </w:rPr>
              <w:t>(18)有培训记录(证书、电子文档、书面记录)等证明培训及合格情况。</w:t>
            </w:r>
          </w:p>
        </w:tc>
        <w:tc>
          <w:tcPr>
            <w:tcW w:w="2145" w:type="dxa"/>
          </w:tcPr>
          <w:p>
            <w:pPr>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705" w:type="dxa"/>
            <w:vAlign w:val="center"/>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1.7</w:t>
            </w:r>
          </w:p>
        </w:tc>
        <w:tc>
          <w:tcPr>
            <w:tcW w:w="13680" w:type="dxa"/>
            <w:gridSpan w:val="3"/>
            <w:vAlign w:val="center"/>
          </w:tcPr>
          <w:p>
            <w:pPr>
              <w:pStyle w:val="7"/>
              <w:spacing w:before="86" w:line="248" w:lineRule="auto"/>
              <w:ind w:left="41" w:right="205"/>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70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1.7.1</w:t>
            </w:r>
          </w:p>
        </w:tc>
        <w:tc>
          <w:tcPr>
            <w:tcW w:w="3480" w:type="dxa"/>
          </w:tcPr>
          <w:p>
            <w:pPr>
              <w:pStyle w:val="7"/>
              <w:spacing w:before="58" w:line="220" w:lineRule="auto"/>
              <w:ind w:left="37"/>
              <w:rPr>
                <w:rFonts w:ascii="仿宋" w:hAnsi="仿宋" w:eastAsia="仿宋" w:cs="仿宋"/>
                <w:sz w:val="21"/>
                <w:szCs w:val="21"/>
                <w:lang w:eastAsia="zh-CN"/>
              </w:rPr>
            </w:pPr>
            <w:r>
              <w:rPr>
                <w:rFonts w:hint="eastAsia" w:ascii="仿宋" w:hAnsi="仿宋" w:eastAsia="仿宋" w:cs="仿宋"/>
                <w:spacing w:val="8"/>
                <w:sz w:val="21"/>
                <w:szCs w:val="21"/>
                <w:lang w:eastAsia="zh-CN"/>
              </w:rPr>
              <w:t>采用信息化手段管理实验室安全</w:t>
            </w:r>
          </w:p>
        </w:tc>
        <w:tc>
          <w:tcPr>
            <w:tcW w:w="8055" w:type="dxa"/>
          </w:tcPr>
          <w:p>
            <w:pPr>
              <w:pStyle w:val="7"/>
              <w:spacing w:before="86" w:line="248" w:lineRule="auto"/>
              <w:ind w:left="41" w:right="205"/>
              <w:jc w:val="both"/>
              <w:rPr>
                <w:rFonts w:ascii="仿宋" w:hAnsi="仿宋" w:eastAsia="仿宋"/>
                <w:spacing w:val="1"/>
                <w:sz w:val="21"/>
                <w:szCs w:val="21"/>
                <w:lang w:eastAsia="zh-CN"/>
              </w:rPr>
            </w:pPr>
            <w:r>
              <w:rPr>
                <w:rFonts w:hint="eastAsia" w:ascii="仿宋" w:hAnsi="仿宋" w:eastAsia="仿宋"/>
                <w:spacing w:val="1"/>
                <w:sz w:val="21"/>
                <w:szCs w:val="21"/>
                <w:lang w:eastAsia="zh-CN"/>
              </w:rPr>
              <w:t>(19)学校建设信息管理等系统用于实验室安全管理。</w:t>
            </w:r>
          </w:p>
        </w:tc>
        <w:tc>
          <w:tcPr>
            <w:tcW w:w="2145" w:type="dxa"/>
          </w:tcPr>
          <w:p>
            <w:pPr>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05"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cs="仿宋"/>
                <w:spacing w:val="8"/>
                <w:sz w:val="21"/>
                <w:szCs w:val="21"/>
                <w:lang w:eastAsia="zh-CN"/>
              </w:rPr>
            </w:pPr>
            <w:r>
              <w:rPr>
                <w:rFonts w:hint="eastAsia" w:ascii="仿宋" w:hAnsi="仿宋" w:eastAsia="仿宋"/>
                <w:spacing w:val="1"/>
                <w:sz w:val="21"/>
                <w:szCs w:val="21"/>
                <w:lang w:eastAsia="zh-CN"/>
              </w:rPr>
              <w:t>1.7.2</w:t>
            </w:r>
          </w:p>
        </w:tc>
        <w:tc>
          <w:tcPr>
            <w:tcW w:w="3480" w:type="dxa"/>
            <w:vAlign w:val="center"/>
          </w:tcPr>
          <w:p>
            <w:pPr>
              <w:pStyle w:val="7"/>
              <w:spacing w:before="58" w:line="220" w:lineRule="auto"/>
              <w:ind w:left="37"/>
              <w:rPr>
                <w:rFonts w:ascii="仿宋" w:hAnsi="仿宋" w:eastAsia="仿宋" w:cs="仿宋"/>
                <w:spacing w:val="8"/>
                <w:sz w:val="21"/>
                <w:szCs w:val="21"/>
                <w:lang w:eastAsia="zh-CN"/>
              </w:rPr>
            </w:pPr>
            <w:r>
              <w:rPr>
                <w:rFonts w:hint="eastAsia" w:ascii="仿宋" w:hAnsi="仿宋" w:eastAsia="仿宋" w:cs="仿宋"/>
                <w:spacing w:val="8"/>
                <w:sz w:val="21"/>
                <w:szCs w:val="21"/>
                <w:lang w:eastAsia="zh-CN"/>
              </w:rPr>
              <w:t>建立实验室安全工作档案</w:t>
            </w:r>
          </w:p>
        </w:tc>
        <w:tc>
          <w:tcPr>
            <w:tcW w:w="8055" w:type="dxa"/>
          </w:tcPr>
          <w:p>
            <w:pPr>
              <w:pStyle w:val="7"/>
              <w:spacing w:before="86" w:line="248" w:lineRule="auto"/>
              <w:ind w:left="41" w:right="205"/>
              <w:jc w:val="both"/>
              <w:rPr>
                <w:rFonts w:ascii="仿宋" w:hAnsi="仿宋" w:eastAsia="仿宋"/>
                <w:spacing w:val="1"/>
                <w:sz w:val="21"/>
                <w:szCs w:val="21"/>
                <w:lang w:eastAsia="zh-CN"/>
              </w:rPr>
            </w:pPr>
            <w:r>
              <w:rPr>
                <w:rFonts w:hint="eastAsia" w:ascii="仿宋" w:hAnsi="仿宋" w:eastAsia="仿宋"/>
                <w:spacing w:val="1"/>
                <w:sz w:val="21"/>
                <w:szCs w:val="21"/>
                <w:lang w:eastAsia="zh-CN"/>
              </w:rPr>
              <w:t>(2</w:t>
            </w:r>
            <w:r>
              <w:rPr>
                <w:rFonts w:hint="eastAsia" w:ascii="仿宋" w:hAnsi="仿宋" w:eastAsia="仿宋"/>
                <w:spacing w:val="-1"/>
                <w:sz w:val="21"/>
                <w:szCs w:val="21"/>
                <w:lang w:eastAsia="zh-CN"/>
              </w:rPr>
              <w:t>0)包括责任体系、队伍建设、安全制度、奖惩、教育培训、安全检查、隐患整改、事故调查与处理、专业安全、其他相关的常规或阶段性工作等，且档案分类科学合理，便于查找。</w:t>
            </w:r>
          </w:p>
        </w:tc>
        <w:tc>
          <w:tcPr>
            <w:tcW w:w="2145" w:type="dxa"/>
          </w:tcPr>
          <w:p>
            <w:pPr>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5" w:type="dxa"/>
            <w:vAlign w:val="center"/>
          </w:tcPr>
          <w:p>
            <w:pPr>
              <w:pStyle w:val="7"/>
              <w:spacing w:before="45" w:line="216" w:lineRule="auto"/>
              <w:ind w:left="83"/>
              <w:rPr>
                <w:rFonts w:ascii="仿宋" w:hAnsi="仿宋" w:eastAsia="仿宋"/>
                <w:b/>
                <w:bCs/>
                <w:spacing w:val="1"/>
                <w:sz w:val="21"/>
                <w:szCs w:val="21"/>
                <w:lang w:eastAsia="zh-CN"/>
              </w:rPr>
            </w:pPr>
            <w:r>
              <w:rPr>
                <w:rFonts w:hint="eastAsia" w:ascii="仿宋" w:hAnsi="仿宋" w:eastAsia="仿宋"/>
                <w:b/>
                <w:bCs/>
                <w:spacing w:val="1"/>
                <w:sz w:val="21"/>
                <w:szCs w:val="21"/>
                <w:lang w:eastAsia="zh-CN"/>
              </w:rPr>
              <w:t>2</w:t>
            </w:r>
          </w:p>
        </w:tc>
        <w:tc>
          <w:tcPr>
            <w:tcW w:w="13680" w:type="dxa"/>
            <w:gridSpan w:val="3"/>
            <w:vAlign w:val="center"/>
          </w:tcPr>
          <w:p>
            <w:pPr>
              <w:pStyle w:val="7"/>
              <w:spacing w:before="59" w:line="221" w:lineRule="auto"/>
              <w:ind w:left="41"/>
              <w:rPr>
                <w:rFonts w:ascii="仿宋" w:hAnsi="仿宋" w:eastAsia="仿宋" w:cs="仿宋"/>
                <w:b/>
                <w:bCs/>
                <w:sz w:val="21"/>
                <w:szCs w:val="21"/>
              </w:rPr>
            </w:pPr>
            <w:r>
              <w:rPr>
                <w:rFonts w:hint="eastAsia" w:ascii="仿宋" w:hAnsi="仿宋" w:eastAsia="仿宋" w:cs="仿宋"/>
                <w:b/>
                <w:bCs/>
                <w:spacing w:val="3"/>
                <w:sz w:val="21"/>
                <w:szCs w:val="21"/>
              </w:rPr>
              <w:t>规章制度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705" w:type="dxa"/>
            <w:vAlign w:val="center"/>
          </w:tcPr>
          <w:p>
            <w:pPr>
              <w:pStyle w:val="7"/>
              <w:spacing w:before="45" w:line="216" w:lineRule="auto"/>
              <w:ind w:left="83"/>
              <w:rPr>
                <w:rFonts w:ascii="仿宋" w:hAnsi="仿宋" w:eastAsia="仿宋"/>
                <w:b/>
                <w:bCs/>
                <w:spacing w:val="1"/>
                <w:sz w:val="21"/>
                <w:szCs w:val="21"/>
                <w:lang w:eastAsia="zh-CN"/>
              </w:rPr>
            </w:pPr>
            <w:r>
              <w:rPr>
                <w:rFonts w:hint="eastAsia" w:ascii="仿宋" w:hAnsi="仿宋" w:eastAsia="仿宋"/>
                <w:b/>
                <w:bCs/>
                <w:spacing w:val="1"/>
                <w:sz w:val="21"/>
                <w:szCs w:val="21"/>
                <w:lang w:eastAsia="zh-CN"/>
              </w:rPr>
              <w:t>2.1</w:t>
            </w:r>
          </w:p>
        </w:tc>
        <w:tc>
          <w:tcPr>
            <w:tcW w:w="13680" w:type="dxa"/>
            <w:gridSpan w:val="3"/>
            <w:vAlign w:val="center"/>
          </w:tcPr>
          <w:p>
            <w:pPr>
              <w:pStyle w:val="7"/>
              <w:spacing w:before="33" w:line="216" w:lineRule="auto"/>
              <w:ind w:left="45"/>
              <w:rPr>
                <w:rFonts w:ascii="仿宋" w:hAnsi="仿宋" w:eastAsia="仿宋" w:cs="仿宋"/>
                <w:b/>
                <w:bCs/>
                <w:sz w:val="21"/>
                <w:szCs w:val="21"/>
              </w:rPr>
            </w:pPr>
            <w:r>
              <w:rPr>
                <w:rFonts w:hint="eastAsia" w:ascii="仿宋" w:hAnsi="仿宋" w:eastAsia="仿宋" w:cs="仿宋"/>
                <w:b/>
                <w:bCs/>
                <w:spacing w:val="3"/>
                <w:sz w:val="21"/>
                <w:szCs w:val="21"/>
              </w:rPr>
              <w:t>实验室安全管理制度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05"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2.1.1</w:t>
            </w:r>
          </w:p>
        </w:tc>
        <w:tc>
          <w:tcPr>
            <w:tcW w:w="3480" w:type="dxa"/>
            <w:vAlign w:val="center"/>
          </w:tcPr>
          <w:p>
            <w:pPr>
              <w:pStyle w:val="7"/>
              <w:spacing w:before="45" w:line="216" w:lineRule="auto"/>
              <w:ind w:left="83"/>
              <w:jc w:val="both"/>
              <w:rPr>
                <w:rFonts w:ascii="仿宋" w:hAnsi="仿宋" w:eastAsia="仿宋" w:cs="仿宋"/>
                <w:lang w:eastAsia="zh-CN"/>
              </w:rPr>
            </w:pPr>
            <w:r>
              <w:rPr>
                <w:rFonts w:hint="eastAsia" w:ascii="仿宋" w:hAnsi="仿宋" w:eastAsia="仿宋"/>
                <w:spacing w:val="-1"/>
                <w:sz w:val="21"/>
                <w:szCs w:val="21"/>
                <w:lang w:eastAsia="zh-CN"/>
              </w:rPr>
              <w:t>学校和院系应有正式发文的实验室安全管理制度</w:t>
            </w:r>
          </w:p>
        </w:tc>
        <w:tc>
          <w:tcPr>
            <w:tcW w:w="8055" w:type="dxa"/>
          </w:tcPr>
          <w:p>
            <w:pPr>
              <w:pStyle w:val="7"/>
              <w:spacing w:before="96" w:line="235" w:lineRule="auto"/>
              <w:jc w:val="both"/>
              <w:rPr>
                <w:rFonts w:ascii="仿宋" w:hAnsi="仿宋" w:eastAsia="仿宋" w:cs="仿宋"/>
                <w:lang w:eastAsia="zh-CN"/>
              </w:rPr>
            </w:pPr>
            <w:r>
              <w:rPr>
                <w:rFonts w:hint="eastAsia" w:ascii="仿宋" w:hAnsi="仿宋" w:eastAsia="仿宋"/>
                <w:spacing w:val="1"/>
                <w:sz w:val="21"/>
                <w:szCs w:val="21"/>
                <w:lang w:eastAsia="zh-CN"/>
              </w:rPr>
              <w:t>(</w:t>
            </w:r>
            <w:r>
              <w:rPr>
                <w:rFonts w:hint="eastAsia" w:ascii="仿宋" w:hAnsi="仿宋" w:eastAsia="仿宋"/>
                <w:spacing w:val="-1"/>
                <w:sz w:val="21"/>
                <w:szCs w:val="21"/>
                <w:lang w:eastAsia="zh-CN"/>
              </w:rPr>
              <w:t>21)有正式发文的实验室安全管理制度，内容包括上位法依据、实验室范围、安全管理原则、组织架构、责任体系、奖惩、事故处理、责任与追究、安全文化等要素。</w:t>
            </w:r>
          </w:p>
        </w:tc>
        <w:tc>
          <w:tcPr>
            <w:tcW w:w="2145" w:type="dxa"/>
          </w:tcPr>
          <w:p>
            <w:pPr>
              <w:rPr>
                <w:rFonts w:ascii="仿宋" w:hAnsi="仿宋" w:eastAsia="仿宋" w:cs="仿宋"/>
                <w:lang w:eastAsia="zh-CN"/>
              </w:rPr>
            </w:pPr>
          </w:p>
        </w:tc>
      </w:tr>
    </w:tbl>
    <w:p>
      <w:pPr>
        <w:spacing w:line="160" w:lineRule="exact"/>
        <w:rPr>
          <w:sz w:val="13"/>
          <w:szCs w:val="13"/>
          <w:lang w:eastAsia="zh-CN"/>
        </w:rPr>
        <w:sectPr>
          <w:footerReference r:id="rId4" w:type="default"/>
          <w:pgSz w:w="16841" w:h="11912"/>
          <w:pgMar w:top="1012" w:right="1848" w:bottom="1584" w:left="1841" w:header="0" w:footer="1450" w:gutter="0"/>
          <w:cols w:space="720" w:num="1"/>
        </w:sectPr>
      </w:pPr>
    </w:p>
    <w:tbl>
      <w:tblPr>
        <w:tblStyle w:val="6"/>
        <w:tblpPr w:leftFromText="180" w:rightFromText="180" w:vertAnchor="text" w:horzAnchor="page" w:tblpX="1143" w:tblpY="156"/>
        <w:tblOverlap w:val="never"/>
        <w:tblW w:w="143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3400"/>
        <w:gridCol w:w="8125"/>
        <w:gridCol w:w="20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705" w:type="dxa"/>
          </w:tcPr>
          <w:p>
            <w:pPr>
              <w:pStyle w:val="7"/>
              <w:spacing w:before="36" w:line="223" w:lineRule="auto"/>
              <w:rPr>
                <w:rFonts w:ascii="黑体" w:hAnsi="黑体" w:eastAsia="黑体" w:cs="黑体"/>
                <w:sz w:val="21"/>
                <w:szCs w:val="21"/>
              </w:rPr>
            </w:pPr>
            <w:r>
              <w:rPr>
                <w:rFonts w:hint="eastAsia" w:ascii="黑体" w:hAnsi="黑体" w:eastAsia="黑体" w:cs="黑体"/>
                <w:b/>
                <w:bCs/>
                <w:spacing w:val="3"/>
                <w:sz w:val="21"/>
                <w:szCs w:val="21"/>
              </w:rPr>
              <w:t>序号</w:t>
            </w:r>
          </w:p>
        </w:tc>
        <w:tc>
          <w:tcPr>
            <w:tcW w:w="3400" w:type="dxa"/>
          </w:tcPr>
          <w:p>
            <w:pPr>
              <w:pStyle w:val="7"/>
              <w:spacing w:before="36" w:line="223" w:lineRule="auto"/>
              <w:ind w:left="41"/>
              <w:rPr>
                <w:rFonts w:ascii="黑体" w:hAnsi="黑体" w:eastAsia="黑体" w:cs="黑体"/>
                <w:sz w:val="21"/>
                <w:szCs w:val="21"/>
              </w:rPr>
            </w:pPr>
            <w:r>
              <w:rPr>
                <w:rFonts w:hint="eastAsia" w:ascii="黑体" w:hAnsi="黑体" w:eastAsia="黑体" w:cs="黑体"/>
                <w:b/>
                <w:bCs/>
                <w:spacing w:val="10"/>
                <w:sz w:val="21"/>
                <w:szCs w:val="21"/>
              </w:rPr>
              <w:t>检查项目</w:t>
            </w:r>
          </w:p>
        </w:tc>
        <w:tc>
          <w:tcPr>
            <w:tcW w:w="8125" w:type="dxa"/>
          </w:tcPr>
          <w:p>
            <w:pPr>
              <w:pStyle w:val="7"/>
              <w:spacing w:before="36" w:line="223" w:lineRule="auto"/>
              <w:ind w:left="75"/>
              <w:rPr>
                <w:rFonts w:ascii="黑体" w:hAnsi="黑体" w:eastAsia="黑体" w:cs="黑体"/>
                <w:sz w:val="21"/>
                <w:szCs w:val="21"/>
              </w:rPr>
            </w:pPr>
            <w:r>
              <w:rPr>
                <w:rFonts w:hint="eastAsia" w:ascii="黑体" w:hAnsi="黑体" w:eastAsia="黑体" w:cs="黑体"/>
                <w:b/>
                <w:bCs/>
                <w:spacing w:val="4"/>
                <w:sz w:val="21"/>
                <w:szCs w:val="21"/>
              </w:rPr>
              <w:t>检查要点</w:t>
            </w:r>
          </w:p>
        </w:tc>
        <w:tc>
          <w:tcPr>
            <w:tcW w:w="2087" w:type="dxa"/>
          </w:tcPr>
          <w:p>
            <w:pPr>
              <w:pStyle w:val="7"/>
              <w:spacing w:before="36" w:line="223" w:lineRule="auto"/>
              <w:ind w:left="43"/>
              <w:rPr>
                <w:rFonts w:ascii="黑体" w:hAnsi="黑体" w:eastAsia="黑体" w:cs="黑体"/>
                <w:sz w:val="21"/>
                <w:szCs w:val="21"/>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5" w:type="dxa"/>
          </w:tcPr>
          <w:p>
            <w:pPr>
              <w:pStyle w:val="7"/>
              <w:spacing w:before="98" w:line="145" w:lineRule="exact"/>
              <w:ind w:left="40"/>
              <w:rPr>
                <w:rFonts w:ascii="仿宋" w:hAnsi="仿宋" w:eastAsia="仿宋" w:cs="仿宋"/>
                <w:b/>
                <w:bCs/>
                <w:spacing w:val="-3"/>
                <w:position w:val="-2"/>
                <w:sz w:val="21"/>
                <w:szCs w:val="21"/>
              </w:rPr>
            </w:pPr>
            <w:r>
              <w:rPr>
                <w:rFonts w:hint="eastAsia" w:ascii="仿宋" w:hAnsi="仿宋" w:eastAsia="仿宋" w:cs="仿宋"/>
                <w:b/>
                <w:bCs/>
                <w:spacing w:val="-3"/>
                <w:position w:val="-2"/>
                <w:sz w:val="21"/>
                <w:szCs w:val="21"/>
              </w:rPr>
              <w:t>2.2</w:t>
            </w:r>
          </w:p>
        </w:tc>
        <w:tc>
          <w:tcPr>
            <w:tcW w:w="13612" w:type="dxa"/>
            <w:gridSpan w:val="3"/>
          </w:tcPr>
          <w:p>
            <w:pPr>
              <w:pStyle w:val="7"/>
              <w:spacing w:before="26" w:line="223" w:lineRule="auto"/>
              <w:ind w:left="77"/>
              <w:rPr>
                <w:rFonts w:ascii="仿宋" w:hAnsi="仿宋" w:eastAsia="仿宋" w:cs="仿宋"/>
                <w:lang w:eastAsia="zh-CN"/>
              </w:rPr>
            </w:pPr>
            <w:r>
              <w:rPr>
                <w:rFonts w:hint="eastAsia" w:ascii="仿宋" w:hAnsi="仿宋" w:eastAsia="仿宋" w:cs="仿宋"/>
                <w:b/>
                <w:bCs/>
                <w:spacing w:val="6"/>
                <w:sz w:val="21"/>
                <w:szCs w:val="21"/>
                <w:lang w:eastAsia="zh-CN"/>
              </w:rPr>
              <w:t>实验室安全管理办法或细则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705" w:type="dxa"/>
          </w:tcPr>
          <w:p>
            <w:pPr>
              <w:pStyle w:val="7"/>
              <w:spacing w:before="98" w:line="145" w:lineRule="exact"/>
              <w:ind w:left="40"/>
              <w:rPr>
                <w:rFonts w:ascii="仿宋" w:hAnsi="仿宋" w:eastAsia="仿宋" w:cs="仿宋"/>
                <w:b/>
                <w:bCs/>
                <w:spacing w:val="-3"/>
                <w:position w:val="-2"/>
                <w:sz w:val="21"/>
                <w:szCs w:val="21"/>
                <w:lang w:eastAsia="zh-CN"/>
              </w:rPr>
            </w:pPr>
          </w:p>
          <w:p>
            <w:pPr>
              <w:pStyle w:val="7"/>
              <w:spacing w:before="98" w:line="145" w:lineRule="exact"/>
              <w:ind w:left="40"/>
              <w:rPr>
                <w:rFonts w:ascii="仿宋" w:hAnsi="仿宋" w:eastAsia="仿宋" w:cs="仿宋"/>
                <w:b/>
                <w:bCs/>
                <w:spacing w:val="-3"/>
                <w:position w:val="-2"/>
                <w:sz w:val="21"/>
                <w:szCs w:val="21"/>
                <w:lang w:eastAsia="zh-CN"/>
              </w:rPr>
            </w:pPr>
            <w:r>
              <w:rPr>
                <w:rFonts w:hint="eastAsia" w:ascii="仿宋" w:hAnsi="仿宋" w:eastAsia="仿宋" w:cs="仿宋"/>
                <w:spacing w:val="-3"/>
                <w:position w:val="-2"/>
                <w:sz w:val="21"/>
                <w:szCs w:val="21"/>
                <w:lang w:eastAsia="zh-CN"/>
              </w:rPr>
              <w:t>2.2.1</w:t>
            </w:r>
          </w:p>
        </w:tc>
        <w:tc>
          <w:tcPr>
            <w:tcW w:w="340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有正式发文的实验室安全管理办法或细则</w:t>
            </w:r>
          </w:p>
        </w:tc>
        <w:tc>
          <w:tcPr>
            <w:tcW w:w="812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(22)依据危险源情况制定实验室分级分类、准入管理、安全检查，以及各类安全等二级管理办法，文件应具有可操作性或实际管理效用，及时修订更新，并正式发文。</w:t>
            </w:r>
          </w:p>
        </w:tc>
        <w:tc>
          <w:tcPr>
            <w:tcW w:w="2087" w:type="dxa"/>
          </w:tcPr>
          <w:p>
            <w:pPr>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705" w:type="dxa"/>
          </w:tcPr>
          <w:p>
            <w:pPr>
              <w:pStyle w:val="7"/>
              <w:spacing w:before="98" w:line="145" w:lineRule="exact"/>
              <w:ind w:left="40"/>
              <w:rPr>
                <w:rFonts w:ascii="仿宋" w:hAnsi="仿宋" w:eastAsia="仿宋" w:cs="仿宋"/>
                <w:b/>
                <w:bCs/>
                <w:spacing w:val="-3"/>
                <w:position w:val="-2"/>
                <w:sz w:val="21"/>
                <w:szCs w:val="21"/>
                <w:lang w:eastAsia="zh-CN"/>
              </w:rPr>
            </w:pPr>
            <w:r>
              <w:rPr>
                <w:rFonts w:hint="eastAsia" w:ascii="仿宋" w:hAnsi="仿宋" w:eastAsia="仿宋" w:cs="仿宋"/>
                <w:b/>
                <w:bCs/>
                <w:spacing w:val="-3"/>
                <w:position w:val="-2"/>
                <w:sz w:val="21"/>
                <w:szCs w:val="21"/>
                <w:lang w:eastAsia="zh-CN"/>
              </w:rPr>
              <w:t>2.3</w:t>
            </w:r>
          </w:p>
        </w:tc>
        <w:tc>
          <w:tcPr>
            <w:tcW w:w="13612" w:type="dxa"/>
            <w:gridSpan w:val="3"/>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b/>
                <w:bCs/>
                <w:spacing w:val="1"/>
                <w:sz w:val="21"/>
                <w:szCs w:val="21"/>
                <w:lang w:eastAsia="zh-CN"/>
              </w:rPr>
              <w:t>安全应急制度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705" w:type="dxa"/>
          </w:tcPr>
          <w:p>
            <w:pPr>
              <w:pStyle w:val="7"/>
              <w:spacing w:before="98" w:line="145" w:lineRule="exact"/>
              <w:ind w:left="40"/>
              <w:rPr>
                <w:rFonts w:ascii="仿宋" w:hAnsi="仿宋" w:eastAsia="仿宋" w:cs="仿宋"/>
                <w:b/>
                <w:bCs/>
                <w:spacing w:val="-3"/>
                <w:position w:val="-2"/>
                <w:sz w:val="21"/>
                <w:szCs w:val="21"/>
                <w:lang w:eastAsia="zh-CN"/>
              </w:rPr>
            </w:pPr>
          </w:p>
          <w:p>
            <w:pPr>
              <w:pStyle w:val="7"/>
              <w:spacing w:before="98" w:line="145" w:lineRule="exact"/>
              <w:ind w:left="40"/>
              <w:rPr>
                <w:rFonts w:ascii="仿宋" w:hAnsi="仿宋" w:eastAsia="仿宋" w:cs="仿宋"/>
                <w:b/>
                <w:bCs/>
                <w:spacing w:val="-3"/>
                <w:position w:val="-2"/>
                <w:sz w:val="21"/>
                <w:szCs w:val="21"/>
                <w:lang w:eastAsia="zh-CN"/>
              </w:rPr>
            </w:pPr>
            <w:r>
              <w:rPr>
                <w:rFonts w:hint="eastAsia" w:ascii="仿宋" w:hAnsi="仿宋" w:eastAsia="仿宋" w:cs="仿宋"/>
                <w:spacing w:val="-3"/>
                <w:position w:val="-2"/>
                <w:sz w:val="21"/>
                <w:szCs w:val="21"/>
                <w:lang w:eastAsia="zh-CN"/>
              </w:rPr>
              <w:t>2.3.1</w:t>
            </w:r>
          </w:p>
        </w:tc>
        <w:tc>
          <w:tcPr>
            <w:tcW w:w="340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学校、院系、实验室有相应的应急预案</w:t>
            </w:r>
          </w:p>
        </w:tc>
        <w:tc>
          <w:tcPr>
            <w:tcW w:w="812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087" w:type="dxa"/>
          </w:tcPr>
          <w:p>
            <w:pPr>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70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w:t>
            </w:r>
          </w:p>
        </w:tc>
        <w:tc>
          <w:tcPr>
            <w:tcW w:w="13612" w:type="dxa"/>
            <w:gridSpan w:val="3"/>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b/>
                <w:bCs/>
                <w:spacing w:val="1"/>
                <w:sz w:val="21"/>
                <w:szCs w:val="21"/>
                <w:lang w:eastAsia="zh-CN"/>
              </w:rPr>
              <w:t>教育培训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70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3.1</w:t>
            </w:r>
          </w:p>
        </w:tc>
        <w:tc>
          <w:tcPr>
            <w:tcW w:w="13612" w:type="dxa"/>
            <w:gridSpan w:val="3"/>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安全教育培训活动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05" w:type="dxa"/>
            <w:vAlign w:val="bottom"/>
          </w:tcPr>
          <w:p>
            <w:pPr>
              <w:pStyle w:val="7"/>
              <w:spacing w:line="360" w:lineRule="auto"/>
              <w:ind w:left="85"/>
              <w:jc w:val="both"/>
              <w:rPr>
                <w:rFonts w:ascii="仿宋" w:hAnsi="仿宋" w:eastAsia="仿宋"/>
                <w:spacing w:val="1"/>
                <w:sz w:val="21"/>
                <w:szCs w:val="21"/>
                <w:lang w:eastAsia="zh-CN"/>
              </w:rPr>
            </w:pPr>
            <w:r>
              <w:rPr>
                <w:rFonts w:hint="eastAsia" w:ascii="仿宋" w:hAnsi="仿宋" w:eastAsia="仿宋"/>
                <w:spacing w:val="1"/>
                <w:sz w:val="21"/>
                <w:szCs w:val="21"/>
                <w:lang w:eastAsia="zh-CN"/>
              </w:rPr>
              <w:t>3.1.1</w:t>
            </w:r>
          </w:p>
        </w:tc>
        <w:tc>
          <w:tcPr>
            <w:tcW w:w="3400" w:type="dxa"/>
            <w:vAlign w:val="bottom"/>
          </w:tcPr>
          <w:p>
            <w:pPr>
              <w:pStyle w:val="7"/>
              <w:spacing w:line="360" w:lineRule="auto"/>
              <w:ind w:left="85"/>
              <w:jc w:val="both"/>
              <w:rPr>
                <w:rFonts w:ascii="仿宋" w:hAnsi="仿宋" w:eastAsia="仿宋"/>
                <w:spacing w:val="1"/>
                <w:sz w:val="21"/>
                <w:szCs w:val="21"/>
                <w:lang w:eastAsia="zh-CN"/>
              </w:rPr>
            </w:pPr>
            <w:r>
              <w:rPr>
                <w:rFonts w:hint="eastAsia" w:ascii="仿宋" w:hAnsi="仿宋" w:eastAsia="仿宋"/>
                <w:spacing w:val="1"/>
                <w:sz w:val="21"/>
                <w:szCs w:val="21"/>
                <w:lang w:eastAsia="zh-CN"/>
              </w:rPr>
              <w:t>开设实验室安全必修课或选修课</w:t>
            </w:r>
          </w:p>
        </w:tc>
        <w:tc>
          <w:tcPr>
            <w:tcW w:w="81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(24)对于有重要危险源(见第15目)的院系和专业，要开设有学分的安全教育必修课或将安全教育课程纳入必修环节；鼓励其他专业开设安全选修课。</w:t>
            </w:r>
          </w:p>
        </w:tc>
        <w:tc>
          <w:tcPr>
            <w:tcW w:w="2087" w:type="dxa"/>
          </w:tcPr>
          <w:p>
            <w:pPr>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705"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3.1.2</w:t>
            </w:r>
          </w:p>
        </w:tc>
        <w:tc>
          <w:tcPr>
            <w:tcW w:w="340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开展安全教育培训活动</w:t>
            </w:r>
          </w:p>
        </w:tc>
        <w:tc>
          <w:tcPr>
            <w:tcW w:w="81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(25)校级层面有档案证明开展了实验室安全教育培训。</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(26)院系层面有档案证明开展了实验室安全教育培训，重点关注外来人员和研究生新生。</w:t>
            </w:r>
          </w:p>
        </w:tc>
        <w:tc>
          <w:tcPr>
            <w:tcW w:w="2087" w:type="dxa"/>
          </w:tcPr>
          <w:p>
            <w:pPr>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70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3.1.3</w:t>
            </w:r>
          </w:p>
        </w:tc>
        <w:tc>
          <w:tcPr>
            <w:tcW w:w="340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开展结合学科特点的应急演练</w:t>
            </w:r>
          </w:p>
        </w:tc>
        <w:tc>
          <w:tcPr>
            <w:tcW w:w="81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(27)有实验室安全事故应急演练。</w:t>
            </w:r>
          </w:p>
        </w:tc>
        <w:tc>
          <w:tcPr>
            <w:tcW w:w="2087" w:type="dxa"/>
          </w:tcPr>
          <w:p>
            <w:pPr>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0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3.1.4</w:t>
            </w:r>
          </w:p>
        </w:tc>
        <w:tc>
          <w:tcPr>
            <w:tcW w:w="340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组织实验室安全知识考试</w:t>
            </w:r>
          </w:p>
        </w:tc>
        <w:tc>
          <w:tcPr>
            <w:tcW w:w="81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(28)建设有考试系统或考试题库并及时更新，从事实验工作的学生、教职工及外来人员均须参加考试，通过者发放合格证书或保留记录。</w:t>
            </w:r>
          </w:p>
        </w:tc>
        <w:tc>
          <w:tcPr>
            <w:tcW w:w="2087" w:type="dxa"/>
          </w:tcPr>
          <w:p>
            <w:pPr>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705"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3.2</w:t>
            </w:r>
          </w:p>
        </w:tc>
        <w:tc>
          <w:tcPr>
            <w:tcW w:w="13612"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安全文化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trPr>
        <w:tc>
          <w:tcPr>
            <w:tcW w:w="705"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3.2.1</w:t>
            </w:r>
          </w:p>
        </w:tc>
        <w:tc>
          <w:tcPr>
            <w:tcW w:w="340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建设有学校特色的安全文化</w:t>
            </w:r>
          </w:p>
        </w:tc>
        <w:tc>
          <w:tcPr>
            <w:tcW w:w="812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(29)学校有网页设立专栏开展安全宣传。</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(30)编印学校实验室安全手册，将实验室安全手册发放到每一位从事实验活动的师生。</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(31)创新宣传教育形式，通过微信公众号、微博、工作简报、文化月、专项整治活动、安全评估、知识竞赛、微电影等方式，加强安全宣传。</w:t>
            </w:r>
          </w:p>
        </w:tc>
        <w:tc>
          <w:tcPr>
            <w:tcW w:w="2087" w:type="dxa"/>
          </w:tcPr>
          <w:p>
            <w:pPr>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0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3.2.2</w:t>
            </w:r>
          </w:p>
        </w:tc>
        <w:tc>
          <w:tcPr>
            <w:tcW w:w="340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建立实验室安全隐患举报制度</w:t>
            </w:r>
          </w:p>
        </w:tc>
        <w:tc>
          <w:tcPr>
            <w:tcW w:w="812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(32)建立实验室安全隐患举报制度，公布实验室安全隐患举报邮箱、电话、信箱等。</w:t>
            </w:r>
          </w:p>
        </w:tc>
        <w:tc>
          <w:tcPr>
            <w:tcW w:w="2087" w:type="dxa"/>
          </w:tcPr>
          <w:p>
            <w:pPr>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705"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4</w:t>
            </w:r>
          </w:p>
        </w:tc>
        <w:tc>
          <w:tcPr>
            <w:tcW w:w="13612"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安全准入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705"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4.1</w:t>
            </w:r>
          </w:p>
        </w:tc>
        <w:tc>
          <w:tcPr>
            <w:tcW w:w="11525" w:type="dxa"/>
            <w:gridSpan w:val="2"/>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项目安全准入</w:t>
            </w:r>
          </w:p>
        </w:tc>
        <w:tc>
          <w:tcPr>
            <w:tcW w:w="2087"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4.1.1</w:t>
            </w:r>
          </w:p>
        </w:tc>
        <w:tc>
          <w:tcPr>
            <w:tcW w:w="340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对项目进行实验室安全风险评估，</w:t>
            </w:r>
          </w:p>
        </w:tc>
        <w:tc>
          <w:tcPr>
            <w:tcW w:w="81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(33)项目负责人负责对实验项目进行危险源辨识、风险评估和控制，制定现场处置方</w:t>
            </w:r>
          </w:p>
        </w:tc>
        <w:tc>
          <w:tcPr>
            <w:tcW w:w="2087" w:type="dxa"/>
          </w:tcPr>
          <w:p>
            <w:pPr>
              <w:rPr>
                <w:rFonts w:ascii="仿宋" w:hAnsi="仿宋" w:eastAsia="仿宋" w:cs="仿宋"/>
                <w:lang w:eastAsia="zh-CN"/>
              </w:rPr>
            </w:pPr>
          </w:p>
        </w:tc>
      </w:tr>
    </w:tbl>
    <w:p>
      <w:pPr>
        <w:spacing w:line="150" w:lineRule="exact"/>
        <w:rPr>
          <w:sz w:val="13"/>
          <w:szCs w:val="13"/>
          <w:lang w:eastAsia="zh-CN"/>
        </w:rPr>
        <w:sectPr>
          <w:footerReference r:id="rId5" w:type="default"/>
          <w:pgSz w:w="16841" w:h="11912"/>
          <w:pgMar w:top="1012" w:right="1781" w:bottom="1534" w:left="1848" w:header="0" w:footer="1400" w:gutter="0"/>
          <w:cols w:space="720" w:num="1"/>
        </w:sectPr>
      </w:pPr>
    </w:p>
    <w:tbl>
      <w:tblPr>
        <w:tblStyle w:val="6"/>
        <w:tblpPr w:leftFromText="180" w:rightFromText="180" w:vertAnchor="text" w:horzAnchor="page" w:tblpX="1128" w:tblpY="75"/>
        <w:tblOverlap w:val="never"/>
        <w:tblW w:w="143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3614"/>
        <w:gridCol w:w="7916"/>
        <w:gridCol w:w="2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714" w:type="dxa"/>
          </w:tcPr>
          <w:p>
            <w:pPr>
              <w:pStyle w:val="7"/>
              <w:spacing w:before="36" w:line="223" w:lineRule="auto"/>
              <w:rPr>
                <w:rFonts w:ascii="黑体" w:hAnsi="黑体" w:eastAsia="黑体" w:cs="黑体"/>
                <w:sz w:val="21"/>
                <w:szCs w:val="21"/>
              </w:rPr>
            </w:pPr>
            <w:r>
              <w:rPr>
                <w:rFonts w:hint="eastAsia" w:ascii="黑体" w:hAnsi="黑体" w:eastAsia="黑体" w:cs="黑体"/>
                <w:b/>
                <w:bCs/>
                <w:spacing w:val="3"/>
                <w:sz w:val="21"/>
                <w:szCs w:val="21"/>
              </w:rPr>
              <w:t>序号</w:t>
            </w:r>
          </w:p>
        </w:tc>
        <w:tc>
          <w:tcPr>
            <w:tcW w:w="3614" w:type="dxa"/>
          </w:tcPr>
          <w:p>
            <w:pPr>
              <w:pStyle w:val="7"/>
              <w:spacing w:before="36" w:line="223" w:lineRule="auto"/>
              <w:ind w:left="41"/>
              <w:rPr>
                <w:rFonts w:ascii="黑体" w:hAnsi="黑体" w:eastAsia="黑体" w:cs="黑体"/>
                <w:sz w:val="21"/>
                <w:szCs w:val="21"/>
              </w:rPr>
            </w:pPr>
            <w:r>
              <w:rPr>
                <w:rFonts w:hint="eastAsia" w:ascii="黑体" w:hAnsi="黑体" w:eastAsia="黑体" w:cs="黑体"/>
                <w:b/>
                <w:bCs/>
                <w:spacing w:val="10"/>
                <w:sz w:val="21"/>
                <w:szCs w:val="21"/>
              </w:rPr>
              <w:t>检查项目</w:t>
            </w:r>
          </w:p>
        </w:tc>
        <w:tc>
          <w:tcPr>
            <w:tcW w:w="7916" w:type="dxa"/>
          </w:tcPr>
          <w:p>
            <w:pPr>
              <w:pStyle w:val="7"/>
              <w:spacing w:before="36" w:line="223" w:lineRule="auto"/>
              <w:ind w:left="75"/>
              <w:rPr>
                <w:rFonts w:ascii="黑体" w:hAnsi="黑体" w:eastAsia="黑体" w:cs="黑体"/>
                <w:sz w:val="21"/>
                <w:szCs w:val="21"/>
              </w:rPr>
            </w:pPr>
            <w:r>
              <w:rPr>
                <w:rFonts w:hint="eastAsia" w:ascii="黑体" w:hAnsi="黑体" w:eastAsia="黑体" w:cs="黑体"/>
                <w:b/>
                <w:bCs/>
                <w:spacing w:val="4"/>
                <w:sz w:val="21"/>
                <w:szCs w:val="21"/>
              </w:rPr>
              <w:t>检查要点</w:t>
            </w:r>
          </w:p>
        </w:tc>
        <w:tc>
          <w:tcPr>
            <w:tcW w:w="2114" w:type="dxa"/>
          </w:tcPr>
          <w:p>
            <w:pPr>
              <w:pStyle w:val="7"/>
              <w:spacing w:before="36" w:line="223" w:lineRule="auto"/>
              <w:ind w:left="43"/>
              <w:rPr>
                <w:rFonts w:ascii="黑体" w:hAnsi="黑体" w:eastAsia="黑体" w:cs="黑体"/>
                <w:sz w:val="21"/>
                <w:szCs w:val="21"/>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714" w:type="dxa"/>
          </w:tcPr>
          <w:p>
            <w:pPr>
              <w:rPr>
                <w:rFonts w:ascii="仿宋" w:hAnsi="仿宋" w:eastAsia="仿宋" w:cs="宋体"/>
                <w:spacing w:val="1"/>
                <w:lang w:eastAsia="zh-CN"/>
              </w:rPr>
            </w:pPr>
          </w:p>
        </w:tc>
        <w:tc>
          <w:tcPr>
            <w:tcW w:w="3614" w:type="dxa"/>
          </w:tcPr>
          <w:p>
            <w:pPr>
              <w:pStyle w:val="7"/>
              <w:spacing w:before="27" w:line="224" w:lineRule="auto"/>
              <w:rPr>
                <w:rFonts w:ascii="仿宋" w:hAnsi="仿宋" w:eastAsia="仿宋"/>
                <w:spacing w:val="1"/>
                <w:sz w:val="21"/>
                <w:szCs w:val="21"/>
                <w:lang w:eastAsia="zh-CN"/>
              </w:rPr>
            </w:pPr>
            <w:r>
              <w:rPr>
                <w:rFonts w:hint="eastAsia" w:ascii="仿宋" w:hAnsi="仿宋" w:eastAsia="仿宋"/>
                <w:spacing w:val="1"/>
                <w:sz w:val="21"/>
                <w:szCs w:val="21"/>
                <w:lang w:eastAsia="zh-CN"/>
              </w:rPr>
              <w:t>保证</w:t>
            </w:r>
            <w:r>
              <w:rPr>
                <w:rFonts w:hint="eastAsia" w:ascii="仿宋" w:hAnsi="仿宋" w:eastAsia="仿宋"/>
                <w:spacing w:val="-1"/>
                <w:sz w:val="21"/>
                <w:szCs w:val="21"/>
                <w:lang w:eastAsia="zh-CN"/>
              </w:rPr>
              <w:t>实验室满足开展项目活动的安全条件</w:t>
            </w:r>
          </w:p>
        </w:tc>
        <w:tc>
          <w:tcPr>
            <w:tcW w:w="7916" w:type="dxa"/>
            <w:vAlign w:val="center"/>
          </w:tcPr>
          <w:p>
            <w:pPr>
              <w:pStyle w:val="7"/>
              <w:spacing w:before="27" w:line="224" w:lineRule="auto"/>
              <w:rPr>
                <w:rFonts w:ascii="仿宋" w:hAnsi="仿宋" w:eastAsia="仿宋"/>
                <w:spacing w:val="1"/>
                <w:sz w:val="21"/>
                <w:szCs w:val="21"/>
                <w:lang w:eastAsia="zh-CN"/>
              </w:rPr>
            </w:pPr>
            <w:r>
              <w:rPr>
                <w:rFonts w:hint="eastAsia" w:ascii="仿宋" w:hAnsi="仿宋" w:eastAsia="仿宋"/>
                <w:spacing w:val="1"/>
                <w:sz w:val="21"/>
                <w:szCs w:val="21"/>
                <w:lang w:eastAsia="zh-CN"/>
              </w:rPr>
              <w:t>案，指导有关人员做好安全防护。</w:t>
            </w:r>
          </w:p>
        </w:tc>
        <w:tc>
          <w:tcPr>
            <w:tcW w:w="2114" w:type="dxa"/>
          </w:tcPr>
          <w:p>
            <w:pPr>
              <w:rPr>
                <w:rFonts w:ascii="仿宋" w:hAnsi="仿宋" w:eastAsia="仿宋" w:cs="宋体"/>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714"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4.2</w:t>
            </w:r>
          </w:p>
        </w:tc>
        <w:tc>
          <w:tcPr>
            <w:tcW w:w="11530" w:type="dxa"/>
            <w:gridSpan w:val="2"/>
          </w:tcPr>
          <w:p>
            <w:pPr>
              <w:pStyle w:val="7"/>
              <w:spacing w:before="37" w:line="222" w:lineRule="auto"/>
              <w:ind w:left="43"/>
              <w:rPr>
                <w:rFonts w:ascii="仿宋" w:hAnsi="仿宋" w:eastAsia="仿宋"/>
                <w:b/>
                <w:bCs/>
                <w:spacing w:val="1"/>
                <w:sz w:val="21"/>
                <w:szCs w:val="21"/>
                <w:lang w:eastAsia="zh-CN"/>
              </w:rPr>
            </w:pPr>
            <w:r>
              <w:rPr>
                <w:rFonts w:hint="eastAsia" w:ascii="仿宋" w:hAnsi="仿宋" w:eastAsia="仿宋"/>
                <w:b/>
                <w:bCs/>
                <w:spacing w:val="1"/>
                <w:sz w:val="21"/>
                <w:szCs w:val="21"/>
                <w:lang w:eastAsia="zh-CN"/>
              </w:rPr>
              <w:t>人员安全准入</w:t>
            </w:r>
          </w:p>
        </w:tc>
        <w:tc>
          <w:tcPr>
            <w:tcW w:w="2114" w:type="dxa"/>
          </w:tcPr>
          <w:p>
            <w:pPr>
              <w:rPr>
                <w:rFonts w:ascii="仿宋" w:hAnsi="仿宋" w:eastAsia="仿宋" w:cs="宋体"/>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1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4.2.1</w:t>
            </w:r>
          </w:p>
        </w:tc>
        <w:tc>
          <w:tcPr>
            <w:tcW w:w="361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实验人员须经过安全培训和考核，获得实验室安全准入资格</w:t>
            </w:r>
          </w:p>
        </w:tc>
        <w:tc>
          <w:tcPr>
            <w:tcW w:w="7916"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(34)实验人员应获得实验室准入资格，并严格遵守各项管理制度。</w:t>
            </w:r>
          </w:p>
        </w:tc>
        <w:tc>
          <w:tcPr>
            <w:tcW w:w="2114" w:type="dxa"/>
          </w:tcPr>
          <w:p>
            <w:pPr>
              <w:rPr>
                <w:rFonts w:ascii="仿宋" w:hAnsi="仿宋" w:eastAsia="仿宋" w:cs="宋体"/>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1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4.3</w:t>
            </w:r>
          </w:p>
        </w:tc>
        <w:tc>
          <w:tcPr>
            <w:tcW w:w="11530" w:type="dxa"/>
            <w:gridSpan w:val="2"/>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安全风险分析</w:t>
            </w:r>
          </w:p>
        </w:tc>
        <w:tc>
          <w:tcPr>
            <w:tcW w:w="2114" w:type="dxa"/>
          </w:tcPr>
          <w:p>
            <w:pPr>
              <w:rPr>
                <w:rFonts w:ascii="仿宋" w:hAnsi="仿宋" w:eastAsia="仿宋" w:cs="宋体"/>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14" w:type="dxa"/>
            <w:tcBorders>
              <w:bottom w:val="single" w:color="000000" w:sz="4" w:space="0"/>
            </w:tcBorders>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4.3.1</w:t>
            </w:r>
          </w:p>
        </w:tc>
        <w:tc>
          <w:tcPr>
            <w:tcW w:w="3614" w:type="dxa"/>
            <w:tcBorders>
              <w:bottom w:val="single" w:color="000000" w:sz="4" w:space="0"/>
            </w:tcBorders>
          </w:tcPr>
          <w:p>
            <w:pPr>
              <w:pStyle w:val="7"/>
              <w:spacing w:before="90" w:line="228" w:lineRule="auto"/>
              <w:ind w:left="18" w:right="16" w:firstLine="27"/>
              <w:rPr>
                <w:rFonts w:ascii="仿宋" w:hAnsi="仿宋" w:eastAsia="仿宋"/>
                <w:spacing w:val="1"/>
                <w:sz w:val="21"/>
                <w:szCs w:val="21"/>
                <w:lang w:eastAsia="zh-CN"/>
              </w:rPr>
            </w:pPr>
            <w:r>
              <w:rPr>
                <w:rFonts w:hint="eastAsia" w:ascii="仿宋" w:hAnsi="仿宋" w:eastAsia="仿宋"/>
                <w:spacing w:val="1"/>
                <w:sz w:val="21"/>
                <w:szCs w:val="21"/>
                <w:lang w:eastAsia="zh-CN"/>
              </w:rPr>
              <w:t>对研究选题进行安全风险分析，做好防控和应急准备</w:t>
            </w:r>
          </w:p>
        </w:tc>
        <w:tc>
          <w:tcPr>
            <w:tcW w:w="7916" w:type="dxa"/>
            <w:tcBorders>
              <w:bottom w:val="single" w:color="000000" w:sz="4" w:space="0"/>
            </w:tcBorders>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(35)开展实验前应进行安全风险分析，并通过审核。</w:t>
            </w:r>
          </w:p>
        </w:tc>
        <w:tc>
          <w:tcPr>
            <w:tcW w:w="2114" w:type="dxa"/>
            <w:tcBorders>
              <w:bottom w:val="single" w:color="000000" w:sz="4" w:space="0"/>
            </w:tcBorders>
          </w:tcPr>
          <w:p>
            <w:pPr>
              <w:rPr>
                <w:rFonts w:ascii="仿宋" w:hAnsi="仿宋" w:eastAsia="仿宋" w:cs="宋体"/>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714" w:type="dxa"/>
            <w:tcBorders>
              <w:top w:val="single" w:color="000000" w:sz="4" w:space="0"/>
            </w:tcBorders>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5</w:t>
            </w:r>
          </w:p>
        </w:tc>
        <w:tc>
          <w:tcPr>
            <w:tcW w:w="13644" w:type="dxa"/>
            <w:gridSpan w:val="3"/>
            <w:tcBorders>
              <w:top w:val="single" w:color="000000" w:sz="4" w:space="0"/>
            </w:tcBorders>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安全检查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14"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5.1</w:t>
            </w:r>
          </w:p>
        </w:tc>
        <w:tc>
          <w:tcPr>
            <w:tcW w:w="13644"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危险源辨识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71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5.1.1</w:t>
            </w:r>
          </w:p>
        </w:tc>
        <w:tc>
          <w:tcPr>
            <w:tcW w:w="3614" w:type="dxa"/>
          </w:tcPr>
          <w:p>
            <w:pPr>
              <w:pStyle w:val="7"/>
              <w:spacing w:before="85" w:line="230" w:lineRule="auto"/>
              <w:ind w:left="17" w:right="8" w:firstLine="32"/>
              <w:rPr>
                <w:rFonts w:ascii="仿宋" w:hAnsi="仿宋" w:eastAsia="仿宋"/>
                <w:spacing w:val="1"/>
                <w:sz w:val="21"/>
                <w:szCs w:val="21"/>
                <w:lang w:eastAsia="zh-CN"/>
              </w:rPr>
            </w:pPr>
            <w:r>
              <w:rPr>
                <w:rFonts w:hint="eastAsia" w:ascii="仿宋" w:hAnsi="仿宋" w:eastAsia="仿宋"/>
                <w:spacing w:val="1"/>
                <w:sz w:val="21"/>
                <w:szCs w:val="21"/>
                <w:lang w:eastAsia="zh-CN"/>
              </w:rPr>
              <w:t>学校、院系、实验室层面建立危险源分布清单</w:t>
            </w:r>
          </w:p>
        </w:tc>
        <w:tc>
          <w:tcPr>
            <w:tcW w:w="7916"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(36)清单内容须包括单位、房间、类别、数量、分级分类、责任人等信息。</w:t>
            </w:r>
          </w:p>
        </w:tc>
        <w:tc>
          <w:tcPr>
            <w:tcW w:w="2114" w:type="dxa"/>
          </w:tcPr>
          <w:p>
            <w:pPr>
              <w:rPr>
                <w:rFonts w:ascii="仿宋" w:hAnsi="仿宋" w:eastAsia="仿宋" w:cs="宋体"/>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1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5.1.2</w:t>
            </w:r>
          </w:p>
        </w:tc>
        <w:tc>
          <w:tcPr>
            <w:tcW w:w="3614" w:type="dxa"/>
          </w:tcPr>
          <w:p>
            <w:pPr>
              <w:pStyle w:val="7"/>
              <w:spacing w:before="68" w:line="228" w:lineRule="auto"/>
              <w:ind w:left="18" w:right="8" w:firstLine="10"/>
              <w:rPr>
                <w:rFonts w:ascii="仿宋" w:hAnsi="仿宋" w:eastAsia="仿宋"/>
                <w:spacing w:val="1"/>
                <w:sz w:val="21"/>
                <w:szCs w:val="21"/>
                <w:lang w:eastAsia="zh-CN"/>
              </w:rPr>
            </w:pPr>
            <w:r>
              <w:rPr>
                <w:rFonts w:hint="eastAsia" w:ascii="仿宋" w:hAnsi="仿宋" w:eastAsia="仿宋"/>
                <w:spacing w:val="1"/>
                <w:sz w:val="21"/>
                <w:szCs w:val="21"/>
                <w:lang w:eastAsia="zh-CN"/>
              </w:rPr>
              <w:t>涉及危险源的实验场所，须有明确的警示标识</w:t>
            </w:r>
          </w:p>
        </w:tc>
        <w:tc>
          <w:tcPr>
            <w:tcW w:w="7916"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(37)涉及重要危险源(见第15目)的场所，有显著的警示标识。</w:t>
            </w:r>
          </w:p>
        </w:tc>
        <w:tc>
          <w:tcPr>
            <w:tcW w:w="2114" w:type="dxa"/>
          </w:tcPr>
          <w:p>
            <w:pPr>
              <w:rPr>
                <w:rFonts w:ascii="仿宋" w:hAnsi="仿宋" w:eastAsia="仿宋" w:cs="宋体"/>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5" w:hRule="atLeast"/>
        </w:trPr>
        <w:tc>
          <w:tcPr>
            <w:tcW w:w="714"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5.1.3</w:t>
            </w:r>
          </w:p>
        </w:tc>
        <w:tc>
          <w:tcPr>
            <w:tcW w:w="3614" w:type="dxa"/>
          </w:tcPr>
          <w:p>
            <w:pPr>
              <w:rPr>
                <w:rFonts w:ascii="仿宋" w:hAnsi="仿宋" w:eastAsia="仿宋" w:cs="宋体"/>
                <w:spacing w:val="1"/>
                <w:lang w:eastAsia="zh-CN"/>
              </w:rPr>
            </w:pPr>
          </w:p>
          <w:p>
            <w:pPr>
              <w:spacing w:line="241" w:lineRule="auto"/>
              <w:rPr>
                <w:rFonts w:ascii="仿宋" w:hAnsi="仿宋" w:eastAsia="仿宋" w:cs="宋体"/>
                <w:spacing w:val="1"/>
                <w:lang w:eastAsia="zh-CN"/>
              </w:rPr>
            </w:pPr>
          </w:p>
          <w:p>
            <w:pPr>
              <w:spacing w:line="241" w:lineRule="auto"/>
              <w:rPr>
                <w:rFonts w:ascii="仿宋" w:hAnsi="仿宋" w:eastAsia="仿宋" w:cs="宋体"/>
                <w:spacing w:val="1"/>
                <w:lang w:eastAsia="zh-CN"/>
              </w:rPr>
            </w:pPr>
          </w:p>
          <w:p>
            <w:pPr>
              <w:spacing w:line="241" w:lineRule="auto"/>
              <w:rPr>
                <w:rFonts w:ascii="仿宋" w:hAnsi="仿宋" w:eastAsia="仿宋" w:cs="宋体"/>
                <w:spacing w:val="1"/>
                <w:lang w:eastAsia="zh-CN"/>
              </w:rPr>
            </w:pPr>
          </w:p>
          <w:p>
            <w:pPr>
              <w:pStyle w:val="7"/>
              <w:spacing w:before="58" w:line="232" w:lineRule="auto"/>
              <w:ind w:left="19" w:right="114" w:firstLine="29"/>
              <w:rPr>
                <w:rFonts w:ascii="仿宋" w:hAnsi="仿宋" w:eastAsia="仿宋"/>
                <w:spacing w:val="1"/>
                <w:sz w:val="21"/>
                <w:szCs w:val="21"/>
                <w:lang w:eastAsia="zh-CN"/>
              </w:rPr>
            </w:pPr>
            <w:r>
              <w:rPr>
                <w:rFonts w:hint="eastAsia" w:ascii="仿宋" w:hAnsi="仿宋" w:eastAsia="仿宋"/>
                <w:spacing w:val="1"/>
                <w:sz w:val="21"/>
                <w:szCs w:val="21"/>
                <w:lang w:eastAsia="zh-CN"/>
              </w:rPr>
              <w:t>建立针对重要危险源的风险管理和应急预案</w:t>
            </w:r>
          </w:p>
        </w:tc>
        <w:tc>
          <w:tcPr>
            <w:tcW w:w="7916"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(39)院系和实验室应建立针对重要危险源的应急预案。</w:t>
            </w:r>
          </w:p>
        </w:tc>
        <w:tc>
          <w:tcPr>
            <w:tcW w:w="2114" w:type="dxa"/>
          </w:tcPr>
          <w:p>
            <w:pPr>
              <w:rPr>
                <w:rFonts w:ascii="仿宋" w:hAnsi="仿宋" w:eastAsia="仿宋" w:cs="宋体"/>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14"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5.2</w:t>
            </w:r>
          </w:p>
        </w:tc>
        <w:tc>
          <w:tcPr>
            <w:tcW w:w="13644"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安全检查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1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5.2.1</w:t>
            </w:r>
          </w:p>
        </w:tc>
        <w:tc>
          <w:tcPr>
            <w:tcW w:w="361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学校、院系层面安全检查及实验室自检自查</w:t>
            </w:r>
          </w:p>
        </w:tc>
        <w:tc>
          <w:tcPr>
            <w:tcW w:w="7916"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(40)学校层面检查每年不少于4次，院系层面每月不少于1次，实验室应经常检查。安全检查及整改都应保存记录。</w:t>
            </w:r>
          </w:p>
        </w:tc>
        <w:tc>
          <w:tcPr>
            <w:tcW w:w="2114" w:type="dxa"/>
          </w:tcPr>
          <w:p>
            <w:pPr>
              <w:rPr>
                <w:rFonts w:ascii="仿宋" w:hAnsi="仿宋" w:eastAsia="仿宋" w:cs="宋体"/>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1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5.2.2</w:t>
            </w:r>
          </w:p>
        </w:tc>
        <w:tc>
          <w:tcPr>
            <w:tcW w:w="361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针对高危实验物品及实验过程开展专项检查</w:t>
            </w:r>
          </w:p>
        </w:tc>
        <w:tc>
          <w:tcPr>
            <w:tcW w:w="7916"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(41)针对重要险源(见第15目),开展定期专项检查。</w:t>
            </w:r>
          </w:p>
        </w:tc>
        <w:tc>
          <w:tcPr>
            <w:tcW w:w="2114" w:type="dxa"/>
          </w:tcPr>
          <w:p>
            <w:pPr>
              <w:rPr>
                <w:rFonts w:ascii="仿宋" w:hAnsi="仿宋" w:eastAsia="仿宋" w:cs="宋体"/>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14"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5.2.3</w:t>
            </w:r>
          </w:p>
        </w:tc>
        <w:tc>
          <w:tcPr>
            <w:tcW w:w="3614" w:type="dxa"/>
            <w:vAlign w:val="center"/>
          </w:tcPr>
          <w:p>
            <w:pPr>
              <w:pStyle w:val="7"/>
              <w:spacing w:before="45" w:line="216" w:lineRule="auto"/>
              <w:jc w:val="both"/>
              <w:rPr>
                <w:rFonts w:ascii="仿宋" w:hAnsi="仿宋" w:eastAsia="仿宋"/>
                <w:spacing w:val="1"/>
                <w:sz w:val="21"/>
                <w:szCs w:val="21"/>
                <w:lang w:eastAsia="zh-CN"/>
              </w:rPr>
            </w:pPr>
            <w:r>
              <w:rPr>
                <w:rFonts w:hint="eastAsia" w:ascii="仿宋" w:hAnsi="仿宋" w:eastAsia="仿宋"/>
                <w:spacing w:val="1"/>
                <w:sz w:val="21"/>
                <w:szCs w:val="21"/>
                <w:lang w:eastAsia="zh-CN"/>
              </w:rPr>
              <w:t>安全检查人员应配备专业的防护和计量用具</w:t>
            </w:r>
          </w:p>
        </w:tc>
        <w:tc>
          <w:tcPr>
            <w:tcW w:w="7916"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114" w:type="dxa"/>
          </w:tcPr>
          <w:p>
            <w:pPr>
              <w:rPr>
                <w:rFonts w:ascii="仿宋" w:hAnsi="仿宋" w:eastAsia="仿宋" w:cs="宋体"/>
                <w:spacing w:val="1"/>
                <w:lang w:eastAsia="zh-CN"/>
              </w:rPr>
            </w:pPr>
          </w:p>
        </w:tc>
      </w:tr>
    </w:tbl>
    <w:p>
      <w:pPr>
        <w:spacing w:line="157" w:lineRule="exact"/>
        <w:rPr>
          <w:rFonts w:ascii="仿宋" w:hAnsi="仿宋" w:eastAsia="仿宋" w:cs="宋体"/>
          <w:spacing w:val="1"/>
          <w:lang w:eastAsia="zh-CN"/>
        </w:rPr>
        <w:sectPr>
          <w:footerReference r:id="rId6" w:type="default"/>
          <w:pgSz w:w="16841" w:h="11912"/>
          <w:pgMar w:top="1012" w:right="1841" w:bottom="1539" w:left="1860" w:header="0" w:footer="1415" w:gutter="0"/>
          <w:cols w:space="720" w:num="1"/>
        </w:sectPr>
      </w:pPr>
    </w:p>
    <w:tbl>
      <w:tblPr>
        <w:tblStyle w:val="6"/>
        <w:tblpPr w:leftFromText="180" w:rightFromText="180" w:vertAnchor="text" w:horzAnchor="page" w:tblpX="1169" w:tblpY="48"/>
        <w:tblOverlap w:val="never"/>
        <w:tblW w:w="14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3620"/>
        <w:gridCol w:w="7915"/>
        <w:gridCol w:w="21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705" w:type="dxa"/>
          </w:tcPr>
          <w:p>
            <w:pPr>
              <w:pStyle w:val="7"/>
              <w:spacing w:before="36" w:line="223" w:lineRule="auto"/>
              <w:rPr>
                <w:rFonts w:ascii="黑体" w:hAnsi="黑体" w:eastAsia="黑体" w:cs="黑体"/>
                <w:sz w:val="21"/>
                <w:szCs w:val="21"/>
                <w:lang w:eastAsia="zh-CN"/>
              </w:rPr>
            </w:pPr>
            <w:r>
              <w:rPr>
                <w:rFonts w:hint="eastAsia" w:ascii="黑体" w:hAnsi="黑体" w:eastAsia="黑体" w:cs="黑体"/>
                <w:b/>
                <w:bCs/>
                <w:spacing w:val="3"/>
                <w:sz w:val="21"/>
                <w:szCs w:val="21"/>
              </w:rPr>
              <w:t>序号</w:t>
            </w:r>
          </w:p>
        </w:tc>
        <w:tc>
          <w:tcPr>
            <w:tcW w:w="3620" w:type="dxa"/>
          </w:tcPr>
          <w:p>
            <w:pPr>
              <w:pStyle w:val="7"/>
              <w:spacing w:before="36" w:line="223" w:lineRule="auto"/>
              <w:ind w:left="41"/>
              <w:rPr>
                <w:rFonts w:ascii="黑体" w:hAnsi="黑体" w:eastAsia="黑体" w:cs="黑体"/>
                <w:sz w:val="21"/>
                <w:szCs w:val="21"/>
                <w:lang w:eastAsia="zh-CN"/>
              </w:rPr>
            </w:pPr>
            <w:r>
              <w:rPr>
                <w:rFonts w:hint="eastAsia" w:ascii="黑体" w:hAnsi="黑体" w:eastAsia="黑体" w:cs="黑体"/>
                <w:b/>
                <w:bCs/>
                <w:spacing w:val="10"/>
                <w:sz w:val="21"/>
                <w:szCs w:val="21"/>
              </w:rPr>
              <w:t>检查项目</w:t>
            </w:r>
          </w:p>
        </w:tc>
        <w:tc>
          <w:tcPr>
            <w:tcW w:w="7915" w:type="dxa"/>
          </w:tcPr>
          <w:p>
            <w:pPr>
              <w:pStyle w:val="7"/>
              <w:spacing w:before="36" w:line="223" w:lineRule="auto"/>
              <w:ind w:left="75"/>
              <w:rPr>
                <w:rFonts w:ascii="黑体" w:hAnsi="黑体" w:eastAsia="黑体" w:cs="黑体"/>
                <w:sz w:val="21"/>
                <w:szCs w:val="21"/>
                <w:lang w:eastAsia="zh-CN"/>
              </w:rPr>
            </w:pPr>
            <w:r>
              <w:rPr>
                <w:rFonts w:hint="eastAsia" w:ascii="黑体" w:hAnsi="黑体" w:eastAsia="黑体" w:cs="黑体"/>
                <w:b/>
                <w:bCs/>
                <w:spacing w:val="4"/>
                <w:sz w:val="21"/>
                <w:szCs w:val="21"/>
              </w:rPr>
              <w:t>检查要点</w:t>
            </w:r>
          </w:p>
        </w:tc>
        <w:tc>
          <w:tcPr>
            <w:tcW w:w="2100" w:type="dxa"/>
          </w:tcPr>
          <w:p>
            <w:pPr>
              <w:pStyle w:val="7"/>
              <w:spacing w:before="36" w:line="223" w:lineRule="auto"/>
              <w:ind w:left="43"/>
              <w:rPr>
                <w:rFonts w:ascii="黑体" w:hAnsi="黑体" w:eastAsia="黑体" w:cs="黑体"/>
                <w:sz w:val="21"/>
                <w:szCs w:val="21"/>
                <w:lang w:eastAsia="zh-CN"/>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705" w:type="dxa"/>
          </w:tcPr>
          <w:p>
            <w:pPr>
              <w:pStyle w:val="7"/>
              <w:spacing w:before="80" w:line="180" w:lineRule="auto"/>
              <w:ind w:left="34"/>
              <w:rPr>
                <w:rFonts w:ascii="仿宋" w:hAnsi="仿宋" w:eastAsia="仿宋"/>
                <w:b/>
                <w:bCs/>
                <w:spacing w:val="1"/>
                <w:sz w:val="21"/>
                <w:szCs w:val="21"/>
                <w:lang w:eastAsia="zh-CN"/>
              </w:rPr>
            </w:pPr>
            <w:r>
              <w:rPr>
                <w:rFonts w:hint="eastAsia" w:ascii="仿宋" w:hAnsi="仿宋" w:eastAsia="仿宋"/>
                <w:b/>
                <w:bCs/>
                <w:spacing w:val="1"/>
                <w:sz w:val="21"/>
                <w:szCs w:val="21"/>
                <w:lang w:eastAsia="zh-CN"/>
              </w:rPr>
              <w:t>5.3</w:t>
            </w:r>
          </w:p>
        </w:tc>
        <w:tc>
          <w:tcPr>
            <w:tcW w:w="13635" w:type="dxa"/>
            <w:gridSpan w:val="3"/>
          </w:tcPr>
          <w:p>
            <w:pPr>
              <w:pStyle w:val="7"/>
              <w:spacing w:before="36" w:line="225" w:lineRule="auto"/>
              <w:ind w:left="44"/>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安全隐患整改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05" w:type="dxa"/>
          </w:tcPr>
          <w:p>
            <w:pPr>
              <w:pStyle w:val="7"/>
              <w:spacing w:before="237" w:line="189" w:lineRule="auto"/>
              <w:ind w:left="32"/>
              <w:rPr>
                <w:rFonts w:ascii="仿宋" w:hAnsi="仿宋" w:eastAsia="仿宋"/>
                <w:spacing w:val="1"/>
                <w:sz w:val="21"/>
                <w:szCs w:val="21"/>
                <w:lang w:eastAsia="zh-CN"/>
              </w:rPr>
            </w:pPr>
            <w:r>
              <w:rPr>
                <w:rFonts w:hint="eastAsia" w:ascii="仿宋" w:hAnsi="仿宋" w:eastAsia="仿宋"/>
                <w:spacing w:val="1"/>
                <w:sz w:val="21"/>
                <w:szCs w:val="21"/>
                <w:lang w:eastAsia="zh-CN"/>
              </w:rPr>
              <w:t>5.3.1</w:t>
            </w:r>
          </w:p>
        </w:tc>
        <w:tc>
          <w:tcPr>
            <w:tcW w:w="362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检查中发现的问题应以正式形式通知到相关负责人</w:t>
            </w:r>
          </w:p>
        </w:tc>
        <w:tc>
          <w:tcPr>
            <w:tcW w:w="791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(43)通知的方式包括校网上公告、实验室安全简报、书面或电子的整改通知书等形式。</w:t>
            </w:r>
          </w:p>
        </w:tc>
        <w:tc>
          <w:tcPr>
            <w:tcW w:w="2100" w:type="dxa"/>
          </w:tcPr>
          <w:p>
            <w:pPr>
              <w:rPr>
                <w:rFonts w:ascii="仿宋" w:hAnsi="仿宋" w:eastAsia="仿宋" w:cs="宋体"/>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05" w:type="dxa"/>
          </w:tcPr>
          <w:p>
            <w:pPr>
              <w:spacing w:line="301" w:lineRule="auto"/>
              <w:rPr>
                <w:rFonts w:ascii="仿宋" w:hAnsi="仿宋" w:eastAsia="仿宋" w:cs="宋体"/>
                <w:spacing w:val="1"/>
                <w:lang w:eastAsia="zh-CN"/>
              </w:rPr>
            </w:pPr>
          </w:p>
          <w:p>
            <w:pPr>
              <w:pStyle w:val="7"/>
              <w:spacing w:before="58" w:line="188" w:lineRule="auto"/>
              <w:ind w:left="32"/>
              <w:rPr>
                <w:rFonts w:ascii="仿宋" w:hAnsi="仿宋" w:eastAsia="仿宋"/>
                <w:spacing w:val="1"/>
                <w:sz w:val="21"/>
                <w:szCs w:val="21"/>
                <w:lang w:eastAsia="zh-CN"/>
              </w:rPr>
            </w:pPr>
            <w:r>
              <w:rPr>
                <w:rFonts w:hint="eastAsia" w:ascii="仿宋" w:hAnsi="仿宋" w:eastAsia="仿宋"/>
                <w:spacing w:val="1"/>
                <w:sz w:val="21"/>
                <w:szCs w:val="21"/>
                <w:lang w:eastAsia="zh-CN"/>
              </w:rPr>
              <w:t>5.3.2</w:t>
            </w:r>
          </w:p>
        </w:tc>
        <w:tc>
          <w:tcPr>
            <w:tcW w:w="3620" w:type="dxa"/>
          </w:tcPr>
          <w:p>
            <w:pPr>
              <w:spacing w:line="248" w:lineRule="auto"/>
              <w:rPr>
                <w:rFonts w:ascii="仿宋" w:hAnsi="仿宋" w:eastAsia="仿宋" w:cs="宋体"/>
                <w:spacing w:val="1"/>
                <w:lang w:eastAsia="zh-CN"/>
              </w:rPr>
            </w:pPr>
          </w:p>
          <w:p>
            <w:pPr>
              <w:pStyle w:val="7"/>
              <w:spacing w:before="59" w:line="229" w:lineRule="auto"/>
              <w:ind w:left="60"/>
              <w:rPr>
                <w:rFonts w:ascii="仿宋" w:hAnsi="仿宋" w:eastAsia="仿宋"/>
                <w:spacing w:val="1"/>
                <w:sz w:val="21"/>
                <w:szCs w:val="21"/>
                <w:lang w:eastAsia="zh-CN"/>
              </w:rPr>
            </w:pPr>
            <w:r>
              <w:rPr>
                <w:rFonts w:hint="eastAsia" w:ascii="仿宋" w:hAnsi="仿宋" w:eastAsia="仿宋"/>
                <w:spacing w:val="1"/>
                <w:sz w:val="21"/>
                <w:szCs w:val="21"/>
                <w:lang w:eastAsia="zh-CN"/>
              </w:rPr>
              <w:t>院系须及时组织隐患整改</w:t>
            </w:r>
          </w:p>
        </w:tc>
        <w:tc>
          <w:tcPr>
            <w:tcW w:w="791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(44)整改报告应在规定时间内提交学校管理部门。</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(45)如存在重大隐患，实验室应立即停止实验活动，整改完成或采取相应防护措施后方能恢复实验。</w:t>
            </w:r>
          </w:p>
        </w:tc>
        <w:tc>
          <w:tcPr>
            <w:tcW w:w="2100" w:type="dxa"/>
          </w:tcPr>
          <w:p>
            <w:pPr>
              <w:rPr>
                <w:rFonts w:ascii="仿宋" w:hAnsi="仿宋" w:eastAsia="仿宋" w:cs="宋体"/>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705" w:type="dxa"/>
          </w:tcPr>
          <w:p>
            <w:pPr>
              <w:pStyle w:val="7"/>
              <w:spacing w:before="90" w:line="180" w:lineRule="auto"/>
              <w:ind w:left="34"/>
              <w:rPr>
                <w:rFonts w:ascii="仿宋" w:hAnsi="仿宋" w:eastAsia="仿宋"/>
                <w:b/>
                <w:bCs/>
                <w:spacing w:val="1"/>
                <w:sz w:val="21"/>
                <w:szCs w:val="21"/>
                <w:lang w:eastAsia="zh-CN"/>
              </w:rPr>
            </w:pPr>
            <w:r>
              <w:rPr>
                <w:rFonts w:hint="eastAsia" w:ascii="仿宋" w:hAnsi="仿宋" w:eastAsia="仿宋"/>
                <w:b/>
                <w:bCs/>
                <w:spacing w:val="1"/>
                <w:sz w:val="21"/>
                <w:szCs w:val="21"/>
                <w:lang w:eastAsia="zh-CN"/>
              </w:rPr>
              <w:t>5.4</w:t>
            </w:r>
          </w:p>
        </w:tc>
        <w:tc>
          <w:tcPr>
            <w:tcW w:w="13635" w:type="dxa"/>
            <w:gridSpan w:val="3"/>
          </w:tcPr>
          <w:p>
            <w:pPr>
              <w:pStyle w:val="7"/>
              <w:spacing w:before="44" w:line="227" w:lineRule="auto"/>
              <w:ind w:left="44"/>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安全报告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05" w:type="dxa"/>
          </w:tcPr>
          <w:p>
            <w:pPr>
              <w:pStyle w:val="7"/>
              <w:spacing w:before="231" w:line="189" w:lineRule="auto"/>
              <w:ind w:left="32"/>
              <w:rPr>
                <w:rFonts w:ascii="仿宋" w:hAnsi="仿宋" w:eastAsia="仿宋"/>
                <w:spacing w:val="1"/>
                <w:sz w:val="21"/>
                <w:szCs w:val="21"/>
                <w:lang w:eastAsia="zh-CN"/>
              </w:rPr>
            </w:pPr>
            <w:r>
              <w:rPr>
                <w:rFonts w:hint="eastAsia" w:ascii="仿宋" w:hAnsi="仿宋" w:eastAsia="仿宋"/>
                <w:spacing w:val="1"/>
                <w:sz w:val="21"/>
                <w:szCs w:val="21"/>
                <w:lang w:eastAsia="zh-CN"/>
              </w:rPr>
              <w:t>5.4.1</w:t>
            </w:r>
          </w:p>
        </w:tc>
        <w:tc>
          <w:tcPr>
            <w:tcW w:w="3620" w:type="dxa"/>
          </w:tcPr>
          <w:p>
            <w:pPr>
              <w:pStyle w:val="7"/>
              <w:spacing w:before="64" w:line="230" w:lineRule="auto"/>
              <w:ind w:left="51" w:right="11" w:hanging="9"/>
              <w:rPr>
                <w:rFonts w:ascii="仿宋" w:hAnsi="仿宋" w:eastAsia="仿宋"/>
                <w:spacing w:val="1"/>
                <w:sz w:val="21"/>
                <w:szCs w:val="21"/>
                <w:lang w:eastAsia="zh-CN"/>
              </w:rPr>
            </w:pPr>
            <w:r>
              <w:rPr>
                <w:rFonts w:hint="eastAsia" w:ascii="仿宋" w:hAnsi="仿宋" w:eastAsia="仿宋"/>
                <w:spacing w:val="1"/>
                <w:sz w:val="21"/>
                <w:szCs w:val="21"/>
                <w:lang w:eastAsia="zh-CN"/>
              </w:rPr>
              <w:t>学校有定期/不定期的安全检查通报；院系有安全检查及整改记录</w:t>
            </w:r>
          </w:p>
        </w:tc>
        <w:tc>
          <w:tcPr>
            <w:tcW w:w="7915" w:type="dxa"/>
          </w:tcPr>
          <w:p>
            <w:pPr>
              <w:pStyle w:val="7"/>
              <w:spacing w:before="182" w:line="229" w:lineRule="auto"/>
              <w:ind w:left="97"/>
              <w:rPr>
                <w:rFonts w:ascii="仿宋" w:hAnsi="仿宋" w:eastAsia="仿宋"/>
                <w:spacing w:val="1"/>
                <w:sz w:val="21"/>
                <w:szCs w:val="21"/>
                <w:lang w:eastAsia="zh-CN"/>
              </w:rPr>
            </w:pPr>
            <w:r>
              <w:rPr>
                <w:rFonts w:hint="eastAsia" w:ascii="仿宋" w:hAnsi="仿宋" w:eastAsia="仿宋"/>
                <w:spacing w:val="1"/>
                <w:sz w:val="21"/>
                <w:szCs w:val="21"/>
                <w:lang w:eastAsia="zh-CN"/>
              </w:rPr>
              <w:t>(46)存有相关资料或电子文档。</w:t>
            </w:r>
          </w:p>
        </w:tc>
        <w:tc>
          <w:tcPr>
            <w:tcW w:w="2100" w:type="dxa"/>
          </w:tcPr>
          <w:p>
            <w:pPr>
              <w:rPr>
                <w:rFonts w:ascii="仿宋" w:hAnsi="仿宋" w:eastAsia="仿宋" w:cs="宋体"/>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05" w:type="dxa"/>
          </w:tcPr>
          <w:p>
            <w:pPr>
              <w:pStyle w:val="7"/>
              <w:spacing w:before="103" w:line="144" w:lineRule="exact"/>
              <w:ind w:left="30"/>
              <w:rPr>
                <w:rFonts w:ascii="仿宋" w:hAnsi="仿宋" w:eastAsia="仿宋"/>
                <w:b/>
                <w:bCs/>
                <w:spacing w:val="1"/>
                <w:sz w:val="21"/>
                <w:szCs w:val="21"/>
                <w:lang w:eastAsia="zh-CN"/>
              </w:rPr>
            </w:pPr>
            <w:r>
              <w:rPr>
                <w:rFonts w:hint="eastAsia" w:ascii="仿宋" w:hAnsi="仿宋" w:eastAsia="仿宋"/>
                <w:b/>
                <w:bCs/>
                <w:spacing w:val="1"/>
                <w:sz w:val="21"/>
                <w:szCs w:val="21"/>
                <w:lang w:eastAsia="zh-CN"/>
              </w:rPr>
              <w:t>6</w:t>
            </w:r>
          </w:p>
        </w:tc>
        <w:tc>
          <w:tcPr>
            <w:tcW w:w="13635" w:type="dxa"/>
            <w:gridSpan w:val="3"/>
          </w:tcPr>
          <w:p>
            <w:pPr>
              <w:pStyle w:val="7"/>
              <w:spacing w:before="30" w:line="222" w:lineRule="auto"/>
              <w:ind w:left="45"/>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实验场所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05" w:type="dxa"/>
          </w:tcPr>
          <w:p>
            <w:pPr>
              <w:pStyle w:val="7"/>
              <w:spacing w:before="99" w:line="180" w:lineRule="auto"/>
              <w:ind w:left="32"/>
              <w:rPr>
                <w:rFonts w:ascii="仿宋" w:hAnsi="仿宋" w:eastAsia="仿宋"/>
                <w:b/>
                <w:bCs/>
                <w:spacing w:val="1"/>
                <w:sz w:val="21"/>
                <w:szCs w:val="21"/>
                <w:lang w:eastAsia="zh-CN"/>
              </w:rPr>
            </w:pPr>
            <w:r>
              <w:rPr>
                <w:rFonts w:hint="eastAsia" w:ascii="仿宋" w:hAnsi="仿宋" w:eastAsia="仿宋"/>
                <w:b/>
                <w:bCs/>
                <w:spacing w:val="1"/>
                <w:sz w:val="21"/>
                <w:szCs w:val="21"/>
                <w:lang w:eastAsia="zh-CN"/>
              </w:rPr>
              <w:t>6.1</w:t>
            </w:r>
          </w:p>
        </w:tc>
        <w:tc>
          <w:tcPr>
            <w:tcW w:w="13635" w:type="dxa"/>
            <w:gridSpan w:val="3"/>
          </w:tcPr>
          <w:p>
            <w:pPr>
              <w:pStyle w:val="7"/>
              <w:spacing w:before="53" w:line="227" w:lineRule="auto"/>
              <w:ind w:left="40"/>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场所环境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05" w:type="dxa"/>
          </w:tcPr>
          <w:p>
            <w:pPr>
              <w:spacing w:line="301" w:lineRule="auto"/>
              <w:rPr>
                <w:rFonts w:ascii="仿宋" w:hAnsi="仿宋" w:eastAsia="仿宋" w:cs="宋体"/>
                <w:spacing w:val="1"/>
                <w:lang w:eastAsia="zh-CN"/>
              </w:rPr>
            </w:pPr>
          </w:p>
          <w:p>
            <w:pPr>
              <w:pStyle w:val="7"/>
              <w:spacing w:before="58" w:line="189" w:lineRule="auto"/>
              <w:ind w:left="30"/>
              <w:rPr>
                <w:rFonts w:ascii="仿宋" w:hAnsi="仿宋" w:eastAsia="仿宋"/>
                <w:spacing w:val="1"/>
                <w:sz w:val="21"/>
                <w:szCs w:val="21"/>
                <w:lang w:eastAsia="zh-CN"/>
              </w:rPr>
            </w:pPr>
            <w:r>
              <w:rPr>
                <w:rFonts w:hint="eastAsia" w:ascii="仿宋" w:hAnsi="仿宋" w:eastAsia="仿宋"/>
                <w:spacing w:val="1"/>
                <w:sz w:val="21"/>
                <w:szCs w:val="21"/>
                <w:lang w:eastAsia="zh-CN"/>
              </w:rPr>
              <w:t>6.1.1</w:t>
            </w:r>
          </w:p>
        </w:tc>
        <w:tc>
          <w:tcPr>
            <w:tcW w:w="3620" w:type="dxa"/>
          </w:tcPr>
          <w:p>
            <w:pPr>
              <w:spacing w:line="251" w:lineRule="auto"/>
              <w:rPr>
                <w:rFonts w:ascii="仿宋" w:hAnsi="仿宋" w:eastAsia="仿宋" w:cs="宋体"/>
                <w:spacing w:val="1"/>
                <w:lang w:eastAsia="zh-CN"/>
              </w:rPr>
            </w:pPr>
          </w:p>
          <w:p>
            <w:pPr>
              <w:pStyle w:val="7"/>
              <w:spacing w:before="59" w:line="229" w:lineRule="auto"/>
              <w:ind w:left="52"/>
              <w:rPr>
                <w:rFonts w:ascii="仿宋" w:hAnsi="仿宋" w:eastAsia="仿宋"/>
                <w:spacing w:val="1"/>
                <w:sz w:val="21"/>
                <w:szCs w:val="21"/>
                <w:lang w:eastAsia="zh-CN"/>
              </w:rPr>
            </w:pPr>
            <w:r>
              <w:rPr>
                <w:rFonts w:hint="eastAsia" w:ascii="仿宋" w:hAnsi="仿宋" w:eastAsia="仿宋"/>
                <w:spacing w:val="1"/>
                <w:sz w:val="21"/>
                <w:szCs w:val="21"/>
                <w:lang w:eastAsia="zh-CN"/>
              </w:rPr>
              <w:t>实验场所应张贴安全信息牌</w:t>
            </w:r>
          </w:p>
        </w:tc>
        <w:tc>
          <w:tcPr>
            <w:tcW w:w="791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(47)每个房间门口挂有安全信息牌，信息包括：实验室分级分类结果、安全风险点的警示标识、安全责任人、涉及危险类别、防护措施和有效的应急联系电话等，并及时更新。</w:t>
            </w:r>
          </w:p>
        </w:tc>
        <w:tc>
          <w:tcPr>
            <w:tcW w:w="2100" w:type="dxa"/>
          </w:tcPr>
          <w:p>
            <w:pPr>
              <w:rPr>
                <w:rFonts w:ascii="仿宋" w:hAnsi="仿宋" w:eastAsia="仿宋" w:cs="宋体"/>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05" w:type="dxa"/>
          </w:tcPr>
          <w:p>
            <w:pPr>
              <w:spacing w:line="286" w:lineRule="auto"/>
              <w:rPr>
                <w:rFonts w:ascii="仿宋" w:hAnsi="仿宋" w:eastAsia="仿宋" w:cs="宋体"/>
                <w:spacing w:val="1"/>
                <w:lang w:eastAsia="zh-CN"/>
              </w:rPr>
            </w:pPr>
          </w:p>
          <w:p>
            <w:pPr>
              <w:spacing w:line="287" w:lineRule="auto"/>
              <w:rPr>
                <w:rFonts w:ascii="仿宋" w:hAnsi="仿宋" w:eastAsia="仿宋" w:cs="宋体"/>
                <w:spacing w:val="1"/>
                <w:lang w:eastAsia="zh-CN"/>
              </w:rPr>
            </w:pPr>
          </w:p>
          <w:p>
            <w:pPr>
              <w:pStyle w:val="7"/>
              <w:spacing w:before="58" w:line="189" w:lineRule="auto"/>
              <w:ind w:left="30"/>
              <w:rPr>
                <w:rFonts w:ascii="仿宋" w:hAnsi="仿宋" w:eastAsia="仿宋"/>
                <w:spacing w:val="1"/>
                <w:sz w:val="21"/>
                <w:szCs w:val="21"/>
                <w:lang w:eastAsia="zh-CN"/>
              </w:rPr>
            </w:pPr>
            <w:r>
              <w:rPr>
                <w:rFonts w:hint="eastAsia" w:ascii="仿宋" w:hAnsi="仿宋" w:eastAsia="仿宋"/>
                <w:spacing w:val="1"/>
                <w:sz w:val="21"/>
                <w:szCs w:val="21"/>
                <w:lang w:eastAsia="zh-CN"/>
              </w:rPr>
              <w:t>6.1.2</w:t>
            </w:r>
          </w:p>
        </w:tc>
        <w:tc>
          <w:tcPr>
            <w:tcW w:w="3620" w:type="dxa"/>
          </w:tcPr>
          <w:p>
            <w:pPr>
              <w:spacing w:line="260" w:lineRule="auto"/>
              <w:rPr>
                <w:rFonts w:ascii="仿宋" w:hAnsi="仿宋" w:eastAsia="仿宋" w:cs="宋体"/>
                <w:spacing w:val="1"/>
                <w:lang w:eastAsia="zh-CN"/>
              </w:rPr>
            </w:pPr>
          </w:p>
          <w:p>
            <w:pPr>
              <w:spacing w:line="260" w:lineRule="auto"/>
              <w:rPr>
                <w:rFonts w:ascii="仿宋" w:hAnsi="仿宋" w:eastAsia="仿宋" w:cs="宋体"/>
                <w:spacing w:val="1"/>
                <w:lang w:eastAsia="zh-CN"/>
              </w:rPr>
            </w:pPr>
          </w:p>
          <w:p>
            <w:pPr>
              <w:pStyle w:val="7"/>
              <w:spacing w:before="59" w:line="229" w:lineRule="auto"/>
              <w:ind w:left="52"/>
              <w:rPr>
                <w:rFonts w:ascii="仿宋" w:hAnsi="仿宋" w:eastAsia="仿宋"/>
                <w:spacing w:val="1"/>
                <w:sz w:val="21"/>
                <w:szCs w:val="21"/>
                <w:lang w:eastAsia="zh-CN"/>
              </w:rPr>
            </w:pPr>
            <w:r>
              <w:rPr>
                <w:rFonts w:hint="eastAsia" w:ascii="仿宋" w:hAnsi="仿宋" w:eastAsia="仿宋"/>
                <w:spacing w:val="1"/>
                <w:sz w:val="21"/>
                <w:szCs w:val="21"/>
                <w:lang w:eastAsia="zh-CN"/>
              </w:rPr>
              <w:t>实验场所应具备合理的安全空间布局</w:t>
            </w:r>
          </w:p>
        </w:tc>
        <w:tc>
          <w:tcPr>
            <w:tcW w:w="791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(48)超过200m²的实验楼层具有至少两处安全出口，75m以上实验室要有两个出入口。</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(49)实验楼大走廊保证留有大于1.5m净宽的消防通道。</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(50)实验室操作区层高不低于2m。</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(51)理工农医类实验室内多人同时进行实验时，人均操作面积不小于2.5m²。</w:t>
            </w:r>
          </w:p>
        </w:tc>
        <w:tc>
          <w:tcPr>
            <w:tcW w:w="2100" w:type="dxa"/>
          </w:tcPr>
          <w:p>
            <w:pPr>
              <w:rPr>
                <w:rFonts w:ascii="仿宋" w:hAnsi="仿宋" w:eastAsia="仿宋" w:cs="宋体"/>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705" w:type="dxa"/>
          </w:tcPr>
          <w:p>
            <w:pPr>
              <w:pStyle w:val="7"/>
              <w:spacing w:before="235" w:line="189" w:lineRule="auto"/>
              <w:ind w:left="30"/>
              <w:rPr>
                <w:rFonts w:ascii="仿宋" w:hAnsi="仿宋" w:eastAsia="仿宋"/>
                <w:spacing w:val="1"/>
                <w:sz w:val="21"/>
                <w:szCs w:val="21"/>
                <w:lang w:eastAsia="zh-CN"/>
              </w:rPr>
            </w:pPr>
            <w:r>
              <w:rPr>
                <w:rFonts w:hint="eastAsia" w:ascii="仿宋" w:hAnsi="仿宋" w:eastAsia="仿宋"/>
                <w:spacing w:val="1"/>
                <w:sz w:val="21"/>
                <w:szCs w:val="21"/>
                <w:lang w:eastAsia="zh-CN"/>
              </w:rPr>
              <w:t>6.1.3</w:t>
            </w:r>
          </w:p>
        </w:tc>
        <w:tc>
          <w:tcPr>
            <w:tcW w:w="3620" w:type="dxa"/>
          </w:tcPr>
          <w:p>
            <w:pPr>
              <w:pStyle w:val="7"/>
              <w:spacing w:before="85" w:line="224" w:lineRule="auto"/>
              <w:ind w:left="48" w:right="3" w:hanging="5"/>
              <w:rPr>
                <w:rFonts w:ascii="仿宋" w:hAnsi="仿宋" w:eastAsia="仿宋"/>
                <w:spacing w:val="1"/>
                <w:sz w:val="21"/>
                <w:szCs w:val="21"/>
                <w:lang w:eastAsia="zh-CN"/>
              </w:rPr>
            </w:pPr>
            <w:r>
              <w:rPr>
                <w:rFonts w:hint="eastAsia" w:ascii="仿宋" w:hAnsi="仿宋" w:eastAsia="仿宋"/>
                <w:spacing w:val="1"/>
                <w:sz w:val="21"/>
                <w:szCs w:val="21"/>
                <w:lang w:eastAsia="zh-CN"/>
              </w:rPr>
              <w:t>实验室消防通道通畅，公共场所不堆放仪器和物品</w:t>
            </w:r>
          </w:p>
        </w:tc>
        <w:tc>
          <w:tcPr>
            <w:tcW w:w="791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(52)保持消防通道通畅。</w:t>
            </w:r>
          </w:p>
        </w:tc>
        <w:tc>
          <w:tcPr>
            <w:tcW w:w="2100" w:type="dxa"/>
          </w:tcPr>
          <w:p>
            <w:pPr>
              <w:rPr>
                <w:rFonts w:ascii="仿宋" w:hAnsi="仿宋" w:eastAsia="仿宋" w:cs="宋体"/>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705" w:type="dxa"/>
          </w:tcPr>
          <w:p>
            <w:pPr>
              <w:spacing w:line="283" w:lineRule="auto"/>
              <w:rPr>
                <w:rFonts w:ascii="仿宋" w:hAnsi="仿宋" w:eastAsia="仿宋" w:cs="宋体"/>
                <w:spacing w:val="1"/>
                <w:lang w:eastAsia="zh-CN"/>
              </w:rPr>
            </w:pPr>
          </w:p>
          <w:p>
            <w:pPr>
              <w:spacing w:line="284" w:lineRule="auto"/>
              <w:rPr>
                <w:rFonts w:ascii="仿宋" w:hAnsi="仿宋" w:eastAsia="仿宋" w:cs="宋体"/>
                <w:spacing w:val="1"/>
                <w:lang w:eastAsia="zh-CN"/>
              </w:rPr>
            </w:pPr>
          </w:p>
          <w:p>
            <w:pPr>
              <w:pStyle w:val="7"/>
              <w:spacing w:before="59" w:line="189" w:lineRule="auto"/>
              <w:ind w:left="30"/>
              <w:rPr>
                <w:rFonts w:ascii="仿宋" w:hAnsi="仿宋" w:eastAsia="仿宋"/>
                <w:spacing w:val="1"/>
                <w:sz w:val="21"/>
                <w:szCs w:val="21"/>
                <w:lang w:eastAsia="zh-CN"/>
              </w:rPr>
            </w:pPr>
            <w:r>
              <w:rPr>
                <w:rFonts w:hint="eastAsia" w:ascii="仿宋" w:hAnsi="仿宋" w:eastAsia="仿宋"/>
                <w:spacing w:val="1"/>
                <w:sz w:val="21"/>
                <w:szCs w:val="21"/>
                <w:lang w:eastAsia="zh-CN"/>
              </w:rPr>
              <w:t>6.1.4</w:t>
            </w:r>
          </w:p>
        </w:tc>
        <w:tc>
          <w:tcPr>
            <w:tcW w:w="3620" w:type="dxa"/>
          </w:tcPr>
          <w:p>
            <w:pPr>
              <w:spacing w:line="259" w:lineRule="auto"/>
              <w:rPr>
                <w:rFonts w:ascii="仿宋" w:hAnsi="仿宋" w:eastAsia="仿宋" w:cs="宋体"/>
                <w:spacing w:val="1"/>
                <w:lang w:eastAsia="zh-CN"/>
              </w:rPr>
            </w:pPr>
          </w:p>
          <w:p>
            <w:pPr>
              <w:spacing w:line="259" w:lineRule="auto"/>
              <w:rPr>
                <w:rFonts w:ascii="仿宋" w:hAnsi="仿宋" w:eastAsia="仿宋" w:cs="宋体"/>
                <w:spacing w:val="1"/>
                <w:lang w:eastAsia="zh-CN"/>
              </w:rPr>
            </w:pPr>
          </w:p>
          <w:p>
            <w:pPr>
              <w:pStyle w:val="7"/>
              <w:spacing w:before="58" w:line="229" w:lineRule="auto"/>
              <w:ind w:left="52"/>
              <w:rPr>
                <w:rFonts w:ascii="仿宋" w:hAnsi="仿宋" w:eastAsia="仿宋"/>
                <w:spacing w:val="1"/>
                <w:sz w:val="21"/>
                <w:szCs w:val="21"/>
                <w:lang w:eastAsia="zh-CN"/>
              </w:rPr>
            </w:pPr>
            <w:r>
              <w:rPr>
                <w:rFonts w:hint="eastAsia" w:ascii="仿宋" w:hAnsi="仿宋" w:eastAsia="仿宋"/>
                <w:spacing w:val="1"/>
                <w:sz w:val="21"/>
                <w:szCs w:val="21"/>
                <w:lang w:eastAsia="zh-CN"/>
              </w:rPr>
              <w:t>实验室建设和装修应符合消防安全要求</w:t>
            </w:r>
          </w:p>
        </w:tc>
        <w:tc>
          <w:tcPr>
            <w:tcW w:w="791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(53)实验操作台应选用合格的防火、耐腐蚀材料。</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(54)仪器设备安装符合建筑物承重荷载要求。</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(55)有可燃气体的实验室不设吊顶。</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(56)不用的配电箱、插座、水管水龙头、网线、气体管路等，应及时拆除或封闭。</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(57)实验室门上有观察窗，外开门不阻挡逃生路径。</w:t>
            </w:r>
          </w:p>
        </w:tc>
        <w:tc>
          <w:tcPr>
            <w:tcW w:w="2100" w:type="dxa"/>
          </w:tcPr>
          <w:p>
            <w:pPr>
              <w:rPr>
                <w:rFonts w:ascii="仿宋" w:hAnsi="仿宋" w:eastAsia="仿宋" w:cs="宋体"/>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05" w:type="dxa"/>
          </w:tcPr>
          <w:p>
            <w:pPr>
              <w:pStyle w:val="7"/>
              <w:spacing w:before="105" w:line="174" w:lineRule="auto"/>
              <w:ind w:left="30"/>
              <w:rPr>
                <w:rFonts w:ascii="仿宋" w:hAnsi="仿宋" w:eastAsia="仿宋"/>
                <w:spacing w:val="1"/>
                <w:sz w:val="21"/>
                <w:szCs w:val="21"/>
                <w:lang w:eastAsia="zh-CN"/>
              </w:rPr>
            </w:pPr>
            <w:r>
              <w:rPr>
                <w:rFonts w:hint="eastAsia" w:ascii="仿宋" w:hAnsi="仿宋" w:eastAsia="仿宋"/>
                <w:spacing w:val="1"/>
                <w:sz w:val="21"/>
                <w:szCs w:val="21"/>
                <w:lang w:eastAsia="zh-CN"/>
              </w:rPr>
              <w:t>6.1.5</w:t>
            </w:r>
          </w:p>
        </w:tc>
        <w:tc>
          <w:tcPr>
            <w:tcW w:w="3620" w:type="dxa"/>
          </w:tcPr>
          <w:p>
            <w:pPr>
              <w:pStyle w:val="7"/>
              <w:spacing w:before="59" w:line="221" w:lineRule="auto"/>
              <w:ind w:left="52"/>
              <w:rPr>
                <w:rFonts w:ascii="仿宋" w:hAnsi="仿宋" w:eastAsia="仿宋"/>
                <w:spacing w:val="1"/>
                <w:sz w:val="21"/>
                <w:szCs w:val="21"/>
                <w:lang w:eastAsia="zh-CN"/>
              </w:rPr>
            </w:pPr>
            <w:r>
              <w:rPr>
                <w:rFonts w:hint="eastAsia" w:ascii="仿宋" w:hAnsi="仿宋" w:eastAsia="仿宋"/>
                <w:spacing w:val="1"/>
                <w:sz w:val="21"/>
                <w:szCs w:val="21"/>
                <w:lang w:eastAsia="zh-CN"/>
              </w:rPr>
              <w:t>实验室所有房间均须配有应急备用钥匙</w:t>
            </w:r>
          </w:p>
        </w:tc>
        <w:tc>
          <w:tcPr>
            <w:tcW w:w="7915" w:type="dxa"/>
            <w:vAlign w:val="center"/>
          </w:tcPr>
          <w:p>
            <w:pPr>
              <w:pStyle w:val="7"/>
              <w:spacing w:before="59" w:line="221" w:lineRule="auto"/>
              <w:ind w:left="97"/>
              <w:rPr>
                <w:rFonts w:ascii="仿宋" w:hAnsi="仿宋" w:eastAsia="仿宋"/>
                <w:spacing w:val="1"/>
                <w:sz w:val="21"/>
                <w:szCs w:val="21"/>
                <w:lang w:eastAsia="zh-CN"/>
              </w:rPr>
            </w:pPr>
            <w:r>
              <w:rPr>
                <w:rFonts w:hint="eastAsia" w:ascii="仿宋" w:hAnsi="仿宋" w:eastAsia="仿宋"/>
                <w:spacing w:val="1"/>
                <w:sz w:val="21"/>
                <w:szCs w:val="21"/>
                <w:lang w:eastAsia="zh-CN"/>
              </w:rPr>
              <w:t>(58)应急备用钥匙须集中存放、统一管理，应急时方便取用。</w:t>
            </w:r>
          </w:p>
        </w:tc>
        <w:tc>
          <w:tcPr>
            <w:tcW w:w="2100" w:type="dxa"/>
          </w:tcPr>
          <w:p>
            <w:pPr>
              <w:rPr>
                <w:rFonts w:ascii="仿宋" w:hAnsi="仿宋" w:eastAsia="仿宋" w:cs="宋体"/>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05" w:type="dxa"/>
          </w:tcPr>
          <w:p>
            <w:pPr>
              <w:spacing w:line="311" w:lineRule="auto"/>
              <w:rPr>
                <w:rFonts w:ascii="仿宋" w:hAnsi="仿宋" w:eastAsia="仿宋" w:cs="宋体"/>
                <w:spacing w:val="1"/>
                <w:lang w:eastAsia="zh-CN"/>
              </w:rPr>
            </w:pPr>
          </w:p>
          <w:p>
            <w:pPr>
              <w:pStyle w:val="7"/>
              <w:spacing w:before="59" w:line="189" w:lineRule="auto"/>
              <w:ind w:left="30"/>
              <w:rPr>
                <w:rFonts w:ascii="仿宋" w:hAnsi="仿宋" w:eastAsia="仿宋"/>
                <w:spacing w:val="1"/>
                <w:sz w:val="21"/>
                <w:szCs w:val="21"/>
                <w:lang w:eastAsia="zh-CN"/>
              </w:rPr>
            </w:pPr>
            <w:r>
              <w:rPr>
                <w:rFonts w:hint="eastAsia" w:ascii="仿宋" w:hAnsi="仿宋" w:eastAsia="仿宋"/>
                <w:spacing w:val="1"/>
                <w:sz w:val="21"/>
                <w:szCs w:val="21"/>
                <w:lang w:eastAsia="zh-CN"/>
              </w:rPr>
              <w:t>6.1.6</w:t>
            </w:r>
          </w:p>
        </w:tc>
        <w:tc>
          <w:tcPr>
            <w:tcW w:w="3620" w:type="dxa"/>
          </w:tcPr>
          <w:p>
            <w:pPr>
              <w:pStyle w:val="7"/>
              <w:spacing w:before="245" w:line="241" w:lineRule="auto"/>
              <w:ind w:left="56" w:right="3" w:hanging="13"/>
              <w:rPr>
                <w:rFonts w:ascii="仿宋" w:hAnsi="仿宋" w:eastAsia="仿宋"/>
                <w:spacing w:val="1"/>
                <w:sz w:val="21"/>
                <w:szCs w:val="21"/>
                <w:lang w:eastAsia="zh-CN"/>
              </w:rPr>
            </w:pPr>
            <w:r>
              <w:rPr>
                <w:rFonts w:hint="eastAsia" w:ascii="仿宋" w:hAnsi="仿宋" w:eastAsia="仿宋"/>
                <w:spacing w:val="1"/>
                <w:sz w:val="21"/>
                <w:szCs w:val="21"/>
                <w:lang w:eastAsia="zh-CN"/>
              </w:rPr>
              <w:t>实验设备须做好振动减振、电磁屏蔽和降噪</w:t>
            </w:r>
          </w:p>
        </w:tc>
        <w:tc>
          <w:tcPr>
            <w:tcW w:w="7915" w:type="dxa"/>
          </w:tcPr>
          <w:p>
            <w:pPr>
              <w:pStyle w:val="7"/>
              <w:spacing w:before="89" w:line="229" w:lineRule="auto"/>
              <w:ind w:left="97"/>
              <w:rPr>
                <w:rFonts w:ascii="仿宋" w:hAnsi="仿宋" w:eastAsia="仿宋"/>
                <w:spacing w:val="1"/>
                <w:sz w:val="21"/>
                <w:szCs w:val="21"/>
                <w:lang w:eastAsia="zh-CN"/>
              </w:rPr>
            </w:pPr>
            <w:r>
              <w:rPr>
                <w:rFonts w:hint="eastAsia" w:ascii="仿宋" w:hAnsi="仿宋" w:eastAsia="仿宋"/>
                <w:spacing w:val="1"/>
                <w:sz w:val="21"/>
                <w:szCs w:val="21"/>
                <w:lang w:eastAsia="zh-CN"/>
              </w:rPr>
              <w:t>(59)容易产生振动的设备，须考虑采取合理的减振措施。</w:t>
            </w:r>
          </w:p>
          <w:p>
            <w:pPr>
              <w:pStyle w:val="7"/>
              <w:spacing w:before="60" w:line="202" w:lineRule="auto"/>
              <w:ind w:left="97"/>
              <w:rPr>
                <w:rFonts w:ascii="仿宋" w:hAnsi="仿宋" w:eastAsia="仿宋"/>
                <w:spacing w:val="1"/>
                <w:sz w:val="21"/>
                <w:szCs w:val="21"/>
                <w:lang w:eastAsia="zh-CN"/>
              </w:rPr>
            </w:pPr>
            <w:r>
              <w:rPr>
                <w:rFonts w:hint="eastAsia" w:ascii="仿宋" w:hAnsi="仿宋" w:eastAsia="仿宋"/>
                <w:spacing w:val="1"/>
                <w:sz w:val="21"/>
                <w:szCs w:val="21"/>
                <w:lang w:eastAsia="zh-CN"/>
              </w:rPr>
              <w:t>(60)易对外产生磁场或易受磁场干扰的设备，须做好磁屏蔽。</w:t>
            </w:r>
          </w:p>
          <w:p>
            <w:pPr>
              <w:pStyle w:val="7"/>
              <w:spacing w:line="220" w:lineRule="auto"/>
              <w:ind w:left="97"/>
              <w:rPr>
                <w:rFonts w:ascii="仿宋" w:hAnsi="仿宋" w:eastAsia="仿宋"/>
                <w:spacing w:val="1"/>
                <w:sz w:val="21"/>
                <w:szCs w:val="21"/>
                <w:lang w:eastAsia="zh-CN"/>
              </w:rPr>
            </w:pPr>
            <w:r>
              <w:rPr>
                <w:rFonts w:hint="eastAsia" w:ascii="仿宋" w:hAnsi="仿宋" w:eastAsia="仿宋"/>
                <w:spacing w:val="1"/>
                <w:sz w:val="21"/>
                <w:szCs w:val="21"/>
                <w:lang w:eastAsia="zh-CN"/>
              </w:rPr>
              <w:t>(61)实验室噪声一般不高于55分贝(机械设备不高于70分贝)。</w:t>
            </w:r>
          </w:p>
        </w:tc>
        <w:tc>
          <w:tcPr>
            <w:tcW w:w="2100" w:type="dxa"/>
          </w:tcPr>
          <w:p>
            <w:pPr>
              <w:rPr>
                <w:rFonts w:ascii="仿宋" w:hAnsi="仿宋" w:eastAsia="仿宋" w:cs="宋体"/>
                <w:spacing w:val="1"/>
                <w:lang w:eastAsia="zh-CN"/>
              </w:rPr>
            </w:pPr>
          </w:p>
        </w:tc>
      </w:tr>
    </w:tbl>
    <w:p>
      <w:pPr>
        <w:spacing w:line="161" w:lineRule="exact"/>
        <w:rPr>
          <w:sz w:val="14"/>
          <w:szCs w:val="14"/>
          <w:lang w:eastAsia="zh-CN"/>
        </w:rPr>
        <w:sectPr>
          <w:footerReference r:id="rId7" w:type="default"/>
          <w:pgSz w:w="16841" w:h="11912"/>
          <w:pgMar w:top="1012" w:right="1910" w:bottom="1583" w:left="1848" w:header="0" w:footer="1450" w:gutter="0"/>
          <w:cols w:space="720" w:num="1"/>
        </w:sectPr>
      </w:pPr>
    </w:p>
    <w:tbl>
      <w:tblPr>
        <w:tblStyle w:val="6"/>
        <w:tblpPr w:leftFromText="180" w:rightFromText="180" w:vertAnchor="text" w:horzAnchor="page" w:tblpX="1214" w:tblpY="-3"/>
        <w:tblOverlap w:val="never"/>
        <w:tblW w:w="142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3582"/>
        <w:gridCol w:w="7869"/>
        <w:gridCol w:w="21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704" w:type="dxa"/>
          </w:tcPr>
          <w:p>
            <w:pPr>
              <w:pStyle w:val="7"/>
              <w:spacing w:before="36" w:line="223" w:lineRule="auto"/>
              <w:rPr>
                <w:rFonts w:ascii="黑体" w:hAnsi="黑体" w:eastAsia="黑体" w:cs="黑体"/>
                <w:sz w:val="21"/>
                <w:szCs w:val="21"/>
              </w:rPr>
            </w:pPr>
            <w:r>
              <w:rPr>
                <w:rFonts w:hint="eastAsia" w:ascii="黑体" w:hAnsi="黑体" w:eastAsia="黑体" w:cs="黑体"/>
                <w:b/>
                <w:bCs/>
                <w:spacing w:val="3"/>
                <w:sz w:val="21"/>
                <w:szCs w:val="21"/>
              </w:rPr>
              <w:t>序号</w:t>
            </w:r>
          </w:p>
        </w:tc>
        <w:tc>
          <w:tcPr>
            <w:tcW w:w="3582" w:type="dxa"/>
          </w:tcPr>
          <w:p>
            <w:pPr>
              <w:pStyle w:val="7"/>
              <w:spacing w:before="36" w:line="223" w:lineRule="auto"/>
              <w:ind w:left="41"/>
              <w:rPr>
                <w:rFonts w:ascii="黑体" w:hAnsi="黑体" w:eastAsia="黑体" w:cs="黑体"/>
                <w:sz w:val="21"/>
                <w:szCs w:val="21"/>
              </w:rPr>
            </w:pPr>
            <w:r>
              <w:rPr>
                <w:rFonts w:hint="eastAsia" w:ascii="黑体" w:hAnsi="黑体" w:eastAsia="黑体" w:cs="黑体"/>
                <w:b/>
                <w:bCs/>
                <w:spacing w:val="10"/>
                <w:sz w:val="21"/>
                <w:szCs w:val="21"/>
              </w:rPr>
              <w:t>检查项目</w:t>
            </w:r>
          </w:p>
        </w:tc>
        <w:tc>
          <w:tcPr>
            <w:tcW w:w="7869" w:type="dxa"/>
          </w:tcPr>
          <w:p>
            <w:pPr>
              <w:pStyle w:val="7"/>
              <w:spacing w:before="36" w:line="223" w:lineRule="auto"/>
              <w:ind w:left="75"/>
              <w:rPr>
                <w:rFonts w:ascii="黑体" w:hAnsi="黑体" w:eastAsia="黑体" w:cs="黑体"/>
                <w:sz w:val="21"/>
                <w:szCs w:val="21"/>
              </w:rPr>
            </w:pPr>
            <w:r>
              <w:rPr>
                <w:rFonts w:hint="eastAsia" w:ascii="黑体" w:hAnsi="黑体" w:eastAsia="黑体" w:cs="黑体"/>
                <w:b/>
                <w:bCs/>
                <w:spacing w:val="4"/>
                <w:sz w:val="21"/>
                <w:szCs w:val="21"/>
              </w:rPr>
              <w:t>检查要点</w:t>
            </w:r>
          </w:p>
        </w:tc>
        <w:tc>
          <w:tcPr>
            <w:tcW w:w="2143" w:type="dxa"/>
          </w:tcPr>
          <w:p>
            <w:pPr>
              <w:pStyle w:val="7"/>
              <w:spacing w:before="36" w:line="223" w:lineRule="auto"/>
              <w:ind w:left="43"/>
              <w:rPr>
                <w:rFonts w:ascii="黑体" w:hAnsi="黑体" w:eastAsia="黑体" w:cs="黑体"/>
                <w:sz w:val="21"/>
                <w:szCs w:val="21"/>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704"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6.1.7</w:t>
            </w:r>
          </w:p>
        </w:tc>
        <w:tc>
          <w:tcPr>
            <w:tcW w:w="3582"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实验室水、电、气管线布局合理，安装施工规范</w:t>
            </w:r>
          </w:p>
        </w:tc>
        <w:tc>
          <w:tcPr>
            <w:tcW w:w="7869"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(62)采用管道供气的实验室，输气管道及阀门无漏气现象，并有明确标识。供气管道有名称和气体流向标识，无破损。</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(63)高温、明火设备放置位置与气体管道有安全间隔距离。</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(64)实验室改造工程应经过审批后实施。</w:t>
            </w:r>
          </w:p>
        </w:tc>
        <w:tc>
          <w:tcPr>
            <w:tcW w:w="2143"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4"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6.2</w:t>
            </w:r>
          </w:p>
        </w:tc>
        <w:tc>
          <w:tcPr>
            <w:tcW w:w="13594"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卫生与日常管理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04"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6.2.1</w:t>
            </w:r>
          </w:p>
        </w:tc>
        <w:tc>
          <w:tcPr>
            <w:tcW w:w="3582"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实验室分区应相对独立，布局合理</w:t>
            </w:r>
          </w:p>
        </w:tc>
        <w:tc>
          <w:tcPr>
            <w:tcW w:w="7869"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(65)有毒有害实验区与学习区明确分开，合理布局，重点关注化学、生物、辐射、 激光等类别实验室。如部分区域分区不明显，现场查看有毒有害物质的管理须对工 作环境无健康危害。</w:t>
            </w:r>
          </w:p>
        </w:tc>
        <w:tc>
          <w:tcPr>
            <w:tcW w:w="2143"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704"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6.2.2</w:t>
            </w:r>
          </w:p>
        </w:tc>
        <w:tc>
          <w:tcPr>
            <w:tcW w:w="3582"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实验室环境应整洁卫生有序</w:t>
            </w:r>
          </w:p>
        </w:tc>
        <w:tc>
          <w:tcPr>
            <w:tcW w:w="7869"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(66)实验室物品摆放有序，卫生状况良好，实验完毕物品归位，无废弃物品、不放无关物品。</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(67)不在实验室睡觉，不存放和烧煮食物、饮食，禁止吸烟，不使用可燃性蚊香。</w:t>
            </w:r>
          </w:p>
        </w:tc>
        <w:tc>
          <w:tcPr>
            <w:tcW w:w="2143"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6.2.3</w:t>
            </w:r>
          </w:p>
        </w:tc>
        <w:tc>
          <w:tcPr>
            <w:tcW w:w="3582"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实验室有卫生安全制度</w:t>
            </w:r>
          </w:p>
        </w:tc>
        <w:tc>
          <w:tcPr>
            <w:tcW w:w="7869"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(68)实验期间有记录。</w:t>
            </w:r>
          </w:p>
        </w:tc>
        <w:tc>
          <w:tcPr>
            <w:tcW w:w="2143"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4"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6.3</w:t>
            </w:r>
          </w:p>
        </w:tc>
        <w:tc>
          <w:tcPr>
            <w:tcW w:w="13594"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场所其他安全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6.3.1</w:t>
            </w:r>
          </w:p>
        </w:tc>
        <w:tc>
          <w:tcPr>
            <w:tcW w:w="3582"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每间实验室均有编号并登记造册</w:t>
            </w:r>
          </w:p>
        </w:tc>
        <w:tc>
          <w:tcPr>
            <w:tcW w:w="7869"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(69)现场查看门牌，查阅档案。</w:t>
            </w:r>
          </w:p>
        </w:tc>
        <w:tc>
          <w:tcPr>
            <w:tcW w:w="2143"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6.3.2</w:t>
            </w:r>
          </w:p>
        </w:tc>
        <w:tc>
          <w:tcPr>
            <w:tcW w:w="3582"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危险性实验室应配备急救物品</w:t>
            </w:r>
          </w:p>
        </w:tc>
        <w:tc>
          <w:tcPr>
            <w:tcW w:w="7869"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(70)配备的药箱不得上锁，并定期检查药品是否在保质期内。</w:t>
            </w:r>
          </w:p>
        </w:tc>
        <w:tc>
          <w:tcPr>
            <w:tcW w:w="2143"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0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6.3.3</w:t>
            </w:r>
          </w:p>
        </w:tc>
        <w:tc>
          <w:tcPr>
            <w:tcW w:w="3582"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停用的实验室有安全防范措施和明显标识</w:t>
            </w:r>
          </w:p>
        </w:tc>
        <w:tc>
          <w:tcPr>
            <w:tcW w:w="7869"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(71)查看现场。</w:t>
            </w:r>
          </w:p>
        </w:tc>
        <w:tc>
          <w:tcPr>
            <w:tcW w:w="2143"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4"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7</w:t>
            </w:r>
          </w:p>
        </w:tc>
        <w:tc>
          <w:tcPr>
            <w:tcW w:w="13594"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安全设施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4"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7.1</w:t>
            </w:r>
          </w:p>
        </w:tc>
        <w:tc>
          <w:tcPr>
            <w:tcW w:w="13594"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消防设施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704"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7.1.1</w:t>
            </w:r>
          </w:p>
        </w:tc>
        <w:tc>
          <w:tcPr>
            <w:tcW w:w="3582"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实验室应配备合适的灭火设备，并定期开展使用训练</w:t>
            </w:r>
          </w:p>
        </w:tc>
        <w:tc>
          <w:tcPr>
            <w:tcW w:w="7869"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(72)烟感报警器、灭火器、灭火毯、消防砂、消防喷淋等，应正常有效、方便取用。</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(73)灭火器种类配置正确， 且在有效期内(压力指针位置正常等),保险销正常，瓶身无破损、腐蚀。</w:t>
            </w:r>
          </w:p>
        </w:tc>
        <w:tc>
          <w:tcPr>
            <w:tcW w:w="2143"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704"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7.1.2</w:t>
            </w:r>
          </w:p>
        </w:tc>
        <w:tc>
          <w:tcPr>
            <w:tcW w:w="3582"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紧急逃生疏散路线通畅</w:t>
            </w:r>
          </w:p>
        </w:tc>
        <w:tc>
          <w:tcPr>
            <w:tcW w:w="7869"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(74)在显著位置张贴有紧急逃生疏散路线图，疏散路线图的逃生路线应有二条(含) 以上，路线与现场情况符合。</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(75)主要逃生路径(室内、楼梯、通道和出口处)有足够的紧急照明灯，功能正常，并设置有效标志指示逃生方向。</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(76)人员应熟悉紧急疏散路线及火场逃生注意事项(现场调查人员熟悉程度)。</w:t>
            </w:r>
          </w:p>
        </w:tc>
        <w:tc>
          <w:tcPr>
            <w:tcW w:w="2143"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4"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7.2</w:t>
            </w:r>
          </w:p>
        </w:tc>
        <w:tc>
          <w:tcPr>
            <w:tcW w:w="13594"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应急喷淋与洗眼装置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0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7.2.1</w:t>
            </w:r>
          </w:p>
        </w:tc>
        <w:tc>
          <w:tcPr>
            <w:tcW w:w="3582"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存在燃烧、腐蚀等风险的实验区域，</w:t>
            </w:r>
          </w:p>
        </w:tc>
        <w:tc>
          <w:tcPr>
            <w:tcW w:w="7869"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(77)应急喷淋和洗眼装置的区域有显著标志。</w:t>
            </w:r>
          </w:p>
        </w:tc>
        <w:tc>
          <w:tcPr>
            <w:tcW w:w="2143" w:type="dxa"/>
          </w:tcPr>
          <w:p>
            <w:pPr>
              <w:pStyle w:val="7"/>
              <w:spacing w:before="45" w:line="216" w:lineRule="auto"/>
              <w:ind w:left="83"/>
              <w:jc w:val="both"/>
              <w:rPr>
                <w:rFonts w:ascii="仿宋" w:hAnsi="仿宋" w:eastAsia="仿宋"/>
                <w:spacing w:val="1"/>
                <w:sz w:val="21"/>
                <w:szCs w:val="21"/>
                <w:lang w:eastAsia="zh-CN"/>
              </w:rPr>
            </w:pPr>
          </w:p>
        </w:tc>
      </w:tr>
    </w:tbl>
    <w:p>
      <w:pPr>
        <w:pStyle w:val="7"/>
        <w:spacing w:before="45" w:line="216" w:lineRule="auto"/>
        <w:jc w:val="both"/>
        <w:rPr>
          <w:rFonts w:ascii="仿宋" w:hAnsi="仿宋" w:eastAsia="仿宋"/>
          <w:spacing w:val="1"/>
          <w:sz w:val="21"/>
          <w:szCs w:val="21"/>
          <w:lang w:eastAsia="zh-CN"/>
        </w:rPr>
        <w:sectPr>
          <w:footerReference r:id="rId8" w:type="default"/>
          <w:pgSz w:w="16841" w:h="11912"/>
          <w:pgMar w:top="1012" w:right="1958" w:bottom="1700" w:left="1841" w:header="0" w:footer="1576" w:gutter="0"/>
          <w:cols w:space="720" w:num="1"/>
        </w:sectPr>
      </w:pPr>
    </w:p>
    <w:tbl>
      <w:tblPr>
        <w:tblStyle w:val="6"/>
        <w:tblpPr w:leftFromText="180" w:rightFromText="180" w:vertAnchor="text" w:horzAnchor="page" w:tblpX="1203" w:tblpY="243"/>
        <w:tblOverlap w:val="never"/>
        <w:tblW w:w="141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568"/>
        <w:gridCol w:w="7779"/>
        <w:gridCol w:w="21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31" w:type="dxa"/>
          </w:tcPr>
          <w:p>
            <w:pPr>
              <w:pStyle w:val="7"/>
              <w:spacing w:before="36" w:line="223" w:lineRule="auto"/>
              <w:rPr>
                <w:rFonts w:ascii="黑体" w:hAnsi="黑体" w:eastAsia="黑体" w:cs="黑体"/>
                <w:sz w:val="21"/>
                <w:szCs w:val="21"/>
                <w:lang w:eastAsia="zh-CN"/>
              </w:rPr>
            </w:pPr>
            <w:r>
              <w:rPr>
                <w:rFonts w:hint="eastAsia" w:ascii="黑体" w:hAnsi="黑体" w:eastAsia="黑体" w:cs="黑体"/>
                <w:b/>
                <w:bCs/>
                <w:spacing w:val="3"/>
                <w:sz w:val="21"/>
                <w:szCs w:val="21"/>
              </w:rPr>
              <w:t>序号</w:t>
            </w:r>
          </w:p>
        </w:tc>
        <w:tc>
          <w:tcPr>
            <w:tcW w:w="3568" w:type="dxa"/>
          </w:tcPr>
          <w:p>
            <w:pPr>
              <w:pStyle w:val="7"/>
              <w:spacing w:before="36" w:line="223" w:lineRule="auto"/>
              <w:ind w:left="41"/>
              <w:rPr>
                <w:rFonts w:ascii="黑体" w:hAnsi="黑体" w:eastAsia="黑体" w:cs="黑体"/>
                <w:sz w:val="21"/>
                <w:szCs w:val="21"/>
                <w:lang w:eastAsia="zh-CN"/>
              </w:rPr>
            </w:pPr>
            <w:r>
              <w:rPr>
                <w:rFonts w:hint="eastAsia" w:ascii="黑体" w:hAnsi="黑体" w:eastAsia="黑体" w:cs="黑体"/>
                <w:b/>
                <w:bCs/>
                <w:spacing w:val="10"/>
                <w:sz w:val="21"/>
                <w:szCs w:val="21"/>
              </w:rPr>
              <w:t>检查项目</w:t>
            </w:r>
          </w:p>
        </w:tc>
        <w:tc>
          <w:tcPr>
            <w:tcW w:w="7779" w:type="dxa"/>
          </w:tcPr>
          <w:p>
            <w:pPr>
              <w:pStyle w:val="7"/>
              <w:spacing w:before="36" w:line="223" w:lineRule="auto"/>
              <w:ind w:left="75"/>
              <w:rPr>
                <w:rFonts w:ascii="黑体" w:hAnsi="黑体" w:eastAsia="黑体" w:cs="黑体"/>
                <w:sz w:val="21"/>
                <w:szCs w:val="21"/>
                <w:lang w:eastAsia="zh-CN"/>
              </w:rPr>
            </w:pPr>
            <w:r>
              <w:rPr>
                <w:rFonts w:hint="eastAsia" w:ascii="黑体" w:hAnsi="黑体" w:eastAsia="黑体" w:cs="黑体"/>
                <w:b/>
                <w:bCs/>
                <w:spacing w:val="4"/>
                <w:sz w:val="21"/>
                <w:szCs w:val="21"/>
              </w:rPr>
              <w:t>检查要点</w:t>
            </w:r>
          </w:p>
        </w:tc>
        <w:tc>
          <w:tcPr>
            <w:tcW w:w="2120" w:type="dxa"/>
          </w:tcPr>
          <w:p>
            <w:pPr>
              <w:pStyle w:val="7"/>
              <w:spacing w:before="36" w:line="223" w:lineRule="auto"/>
              <w:ind w:left="43"/>
              <w:rPr>
                <w:rFonts w:ascii="黑体" w:hAnsi="黑体" w:eastAsia="黑体" w:cs="黑体"/>
                <w:sz w:val="21"/>
                <w:szCs w:val="21"/>
                <w:lang w:eastAsia="zh-CN"/>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31" w:type="dxa"/>
          </w:tcPr>
          <w:p>
            <w:pPr>
              <w:pStyle w:val="7"/>
              <w:spacing w:before="45" w:line="216" w:lineRule="auto"/>
              <w:ind w:left="83"/>
              <w:jc w:val="both"/>
              <w:rPr>
                <w:rFonts w:ascii="仿宋" w:hAnsi="仿宋" w:eastAsia="仿宋"/>
                <w:spacing w:val="1"/>
                <w:sz w:val="21"/>
                <w:szCs w:val="21"/>
                <w:lang w:eastAsia="zh-CN"/>
              </w:rPr>
            </w:pPr>
          </w:p>
        </w:tc>
        <w:tc>
          <w:tcPr>
            <w:tcW w:w="3568"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须配置应急喷淋和洗眼装置</w:t>
            </w:r>
          </w:p>
        </w:tc>
        <w:tc>
          <w:tcPr>
            <w:tcW w:w="7779" w:type="dxa"/>
          </w:tcPr>
          <w:p>
            <w:pPr>
              <w:pStyle w:val="7"/>
              <w:spacing w:before="45" w:line="216" w:lineRule="auto"/>
              <w:ind w:left="83"/>
              <w:jc w:val="both"/>
              <w:rPr>
                <w:rFonts w:ascii="仿宋" w:hAnsi="仿宋" w:eastAsia="仿宋"/>
                <w:spacing w:val="1"/>
                <w:sz w:val="21"/>
                <w:szCs w:val="21"/>
                <w:lang w:eastAsia="zh-CN"/>
              </w:rPr>
            </w:pPr>
          </w:p>
        </w:tc>
        <w:tc>
          <w:tcPr>
            <w:tcW w:w="212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49" w:hRule="atLeast"/>
        </w:trPr>
        <w:tc>
          <w:tcPr>
            <w:tcW w:w="731"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7.2.2</w:t>
            </w:r>
          </w:p>
        </w:tc>
        <w:tc>
          <w:tcPr>
            <w:tcW w:w="3568"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应急喷淋与洗眼装置安装合理，并能正常使用</w:t>
            </w:r>
          </w:p>
        </w:tc>
        <w:tc>
          <w:tcPr>
            <w:tcW w:w="7779"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(78)应急喷淋安装地点与工作区域之间畅通，距离不超过30m。应急喷淋安装位置合适，拉杆位置合适、方向正确。应急喷淋装置水管总阀为常开状态，喷淋头下方410mm范围内无障碍物。</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(79)不能以普通淋浴装置代替应急喷淋装置。</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(80)洗眼装置接入生活用水管道，应至少以1.5L/min的流量供水，水压适中，水流畅通平稳。</w:t>
            </w:r>
          </w:p>
        </w:tc>
        <w:tc>
          <w:tcPr>
            <w:tcW w:w="212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2" w:hRule="atLeast"/>
        </w:trPr>
        <w:tc>
          <w:tcPr>
            <w:tcW w:w="731"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7.2.3</w:t>
            </w:r>
          </w:p>
        </w:tc>
        <w:tc>
          <w:tcPr>
            <w:tcW w:w="3568"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定期对应急喷淋与洗眼装置进行维护</w:t>
            </w:r>
          </w:p>
        </w:tc>
        <w:tc>
          <w:tcPr>
            <w:tcW w:w="7779"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(81)经常对应急喷淋与洗眼装置进行维护，无锈水、脏水，有检查记录。</w:t>
            </w:r>
          </w:p>
        </w:tc>
        <w:tc>
          <w:tcPr>
            <w:tcW w:w="212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31"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7.3</w:t>
            </w:r>
          </w:p>
        </w:tc>
        <w:tc>
          <w:tcPr>
            <w:tcW w:w="13467"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通风系统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6" w:hRule="atLeast"/>
        </w:trPr>
        <w:tc>
          <w:tcPr>
            <w:tcW w:w="731"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7.3.1</w:t>
            </w:r>
          </w:p>
        </w:tc>
        <w:tc>
          <w:tcPr>
            <w:tcW w:w="3568"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有需要的实验场所配备符合设计规范的通风系统</w:t>
            </w:r>
          </w:p>
        </w:tc>
        <w:tc>
          <w:tcPr>
            <w:tcW w:w="7779"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(82)管道风机须防腐，使用可燃气体的场所宜采用防爆风机。</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(83)实验室通风系统运行正常，柜口面风速0.35~0.75m/s,定期进行维护、检修。</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(84)屋顶风机固定无松动、无异常噪声。</w:t>
            </w:r>
          </w:p>
        </w:tc>
        <w:tc>
          <w:tcPr>
            <w:tcW w:w="212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64" w:hRule="atLeast"/>
        </w:trPr>
        <w:tc>
          <w:tcPr>
            <w:tcW w:w="731"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7.3.2</w:t>
            </w:r>
          </w:p>
        </w:tc>
        <w:tc>
          <w:tcPr>
            <w:tcW w:w="3568"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通风柜配置合理、使用正常、操作合规</w:t>
            </w:r>
          </w:p>
        </w:tc>
        <w:tc>
          <w:tcPr>
            <w:tcW w:w="7779"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(85)实验室排出的有害物质浓度超过国家现行标准规定的允许排放标准时，须采取净化措施，做到达标排放。</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(86)任何可能产生有毒有害气体而导致个人曝露，或产生可燃、可爆炸气体或蒸气而导致积聚的实验，都须在通风柜内进行。</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(87)进行实验时，通风柜可调玻璃视窗开至离台面10～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玻璃视窗材料应是钢化玻璃。</w:t>
            </w:r>
          </w:p>
        </w:tc>
        <w:tc>
          <w:tcPr>
            <w:tcW w:w="212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2" w:hRule="atLeast"/>
        </w:trPr>
        <w:tc>
          <w:tcPr>
            <w:tcW w:w="731"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7.4</w:t>
            </w:r>
          </w:p>
        </w:tc>
        <w:tc>
          <w:tcPr>
            <w:tcW w:w="13467"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门禁监控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731"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7.4.1</w:t>
            </w:r>
          </w:p>
        </w:tc>
        <w:tc>
          <w:tcPr>
            <w:tcW w:w="3568"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重点场所须安装门禁和监控设施，并有专人管理</w:t>
            </w:r>
          </w:p>
        </w:tc>
        <w:tc>
          <w:tcPr>
            <w:tcW w:w="7779"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(88)关注重点场所，如剧毒品、病原微生物、放射源存放点、核材料等危险源的管理。</w:t>
            </w:r>
          </w:p>
        </w:tc>
        <w:tc>
          <w:tcPr>
            <w:tcW w:w="212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0" w:hRule="atLeast"/>
        </w:trPr>
        <w:tc>
          <w:tcPr>
            <w:tcW w:w="731"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7.4.2</w:t>
            </w:r>
          </w:p>
        </w:tc>
        <w:tc>
          <w:tcPr>
            <w:tcW w:w="3568"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门禁和监控系统运转正常，与实验室准入制度相匹配</w:t>
            </w:r>
          </w:p>
        </w:tc>
        <w:tc>
          <w:tcPr>
            <w:tcW w:w="7779"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(89)监控不留死角，图像清晰，人员出入记录可查，视频记录存储时间不少于30天。</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(90)停电时，电子门禁系统应是开启状态或者有备用机械钥匙。</w:t>
            </w:r>
          </w:p>
        </w:tc>
        <w:tc>
          <w:tcPr>
            <w:tcW w:w="212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31"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7.5</w:t>
            </w:r>
          </w:p>
        </w:tc>
        <w:tc>
          <w:tcPr>
            <w:tcW w:w="13467" w:type="dxa"/>
            <w:gridSpan w:val="3"/>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实验室防爆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731"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7.5.1</w:t>
            </w:r>
          </w:p>
        </w:tc>
        <w:tc>
          <w:tcPr>
            <w:tcW w:w="3568"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有防爆需求的实验室须符合防爆设计要求</w:t>
            </w:r>
          </w:p>
        </w:tc>
        <w:tc>
          <w:tcPr>
            <w:tcW w:w="7779"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(91)安装有防爆开关、防爆灯等，安装必要的气体报警系统、监控系统、应急系统等。</w:t>
            </w:r>
          </w:p>
        </w:tc>
        <w:tc>
          <w:tcPr>
            <w:tcW w:w="2120" w:type="dxa"/>
          </w:tcPr>
          <w:p>
            <w:pPr>
              <w:pStyle w:val="7"/>
              <w:spacing w:before="45" w:line="216" w:lineRule="auto"/>
              <w:ind w:left="83"/>
              <w:jc w:val="both"/>
              <w:rPr>
                <w:rFonts w:ascii="仿宋" w:hAnsi="仿宋" w:eastAsia="仿宋"/>
                <w:spacing w:val="1"/>
                <w:sz w:val="21"/>
                <w:szCs w:val="21"/>
                <w:lang w:eastAsia="zh-CN"/>
              </w:rPr>
            </w:pPr>
          </w:p>
        </w:tc>
      </w:tr>
    </w:tbl>
    <w:p>
      <w:pPr>
        <w:pStyle w:val="7"/>
        <w:spacing w:before="45" w:line="216" w:lineRule="auto"/>
        <w:jc w:val="both"/>
        <w:rPr>
          <w:rFonts w:ascii="仿宋" w:hAnsi="仿宋" w:eastAsia="仿宋"/>
          <w:spacing w:val="1"/>
          <w:sz w:val="21"/>
          <w:szCs w:val="21"/>
          <w:lang w:eastAsia="zh-CN"/>
        </w:rPr>
        <w:sectPr>
          <w:footerReference r:id="rId9" w:type="default"/>
          <w:pgSz w:w="16841" w:h="11912"/>
          <w:pgMar w:top="1012" w:right="1870" w:bottom="1535" w:left="1841" w:header="0" w:footer="1402" w:gutter="0"/>
          <w:cols w:space="720" w:num="1"/>
        </w:sectPr>
      </w:pPr>
    </w:p>
    <w:tbl>
      <w:tblPr>
        <w:tblStyle w:val="6"/>
        <w:tblpPr w:leftFromText="180" w:rightFromText="180" w:vertAnchor="text" w:horzAnchor="page" w:tblpX="1199" w:tblpY="51"/>
        <w:tblOverlap w:val="never"/>
        <w:tblW w:w="140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
        <w:gridCol w:w="3560"/>
        <w:gridCol w:w="7669"/>
        <w:gridCol w:w="21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37" w:type="dxa"/>
          </w:tcPr>
          <w:p>
            <w:pPr>
              <w:pStyle w:val="7"/>
              <w:spacing w:before="36" w:line="223" w:lineRule="auto"/>
              <w:rPr>
                <w:rFonts w:ascii="黑体" w:hAnsi="黑体" w:eastAsia="黑体" w:cs="黑体"/>
                <w:sz w:val="21"/>
                <w:szCs w:val="21"/>
                <w:lang w:eastAsia="zh-CN"/>
              </w:rPr>
            </w:pPr>
            <w:r>
              <w:rPr>
                <w:rFonts w:hint="eastAsia" w:ascii="黑体" w:hAnsi="黑体" w:eastAsia="黑体" w:cs="黑体"/>
                <w:b/>
                <w:bCs/>
                <w:spacing w:val="3"/>
                <w:sz w:val="21"/>
                <w:szCs w:val="21"/>
              </w:rPr>
              <w:t>序号</w:t>
            </w:r>
          </w:p>
        </w:tc>
        <w:tc>
          <w:tcPr>
            <w:tcW w:w="3560" w:type="dxa"/>
          </w:tcPr>
          <w:p>
            <w:pPr>
              <w:pStyle w:val="7"/>
              <w:spacing w:before="36" w:line="223" w:lineRule="auto"/>
              <w:ind w:left="41"/>
              <w:rPr>
                <w:rFonts w:ascii="黑体" w:hAnsi="黑体" w:eastAsia="黑体" w:cs="黑体"/>
                <w:sz w:val="21"/>
                <w:szCs w:val="21"/>
                <w:lang w:eastAsia="zh-CN"/>
              </w:rPr>
            </w:pPr>
            <w:r>
              <w:rPr>
                <w:rFonts w:hint="eastAsia" w:ascii="黑体" w:hAnsi="黑体" w:eastAsia="黑体" w:cs="黑体"/>
                <w:b/>
                <w:bCs/>
                <w:spacing w:val="10"/>
                <w:sz w:val="21"/>
                <w:szCs w:val="21"/>
              </w:rPr>
              <w:t>检查项目</w:t>
            </w:r>
          </w:p>
        </w:tc>
        <w:tc>
          <w:tcPr>
            <w:tcW w:w="7669" w:type="dxa"/>
          </w:tcPr>
          <w:p>
            <w:pPr>
              <w:pStyle w:val="7"/>
              <w:spacing w:before="36" w:line="223" w:lineRule="auto"/>
              <w:ind w:left="75"/>
              <w:rPr>
                <w:rFonts w:ascii="黑体" w:hAnsi="黑体" w:eastAsia="黑体" w:cs="黑体"/>
                <w:sz w:val="21"/>
                <w:szCs w:val="21"/>
                <w:lang w:eastAsia="zh-CN"/>
              </w:rPr>
            </w:pPr>
            <w:r>
              <w:rPr>
                <w:rFonts w:hint="eastAsia" w:ascii="黑体" w:hAnsi="黑体" w:eastAsia="黑体" w:cs="黑体"/>
                <w:b/>
                <w:bCs/>
                <w:spacing w:val="4"/>
                <w:sz w:val="21"/>
                <w:szCs w:val="21"/>
              </w:rPr>
              <w:t>检查要点</w:t>
            </w:r>
          </w:p>
        </w:tc>
        <w:tc>
          <w:tcPr>
            <w:tcW w:w="2112" w:type="dxa"/>
          </w:tcPr>
          <w:p>
            <w:pPr>
              <w:pStyle w:val="7"/>
              <w:spacing w:before="36" w:line="223" w:lineRule="auto"/>
              <w:ind w:left="43"/>
              <w:rPr>
                <w:rFonts w:ascii="黑体" w:hAnsi="黑体" w:eastAsia="黑体" w:cs="黑体"/>
                <w:sz w:val="21"/>
                <w:szCs w:val="21"/>
                <w:lang w:eastAsia="zh-CN"/>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737" w:type="dxa"/>
          </w:tcPr>
          <w:p>
            <w:pPr>
              <w:pStyle w:val="7"/>
              <w:spacing w:before="45" w:line="216" w:lineRule="auto"/>
              <w:ind w:left="83"/>
              <w:jc w:val="both"/>
              <w:rPr>
                <w:rFonts w:ascii="仿宋" w:hAnsi="仿宋" w:eastAsia="仿宋"/>
                <w:spacing w:val="1"/>
                <w:sz w:val="21"/>
                <w:szCs w:val="21"/>
                <w:lang w:eastAsia="zh-CN"/>
              </w:rPr>
            </w:pPr>
          </w:p>
        </w:tc>
        <w:tc>
          <w:tcPr>
            <w:tcW w:w="3560" w:type="dxa"/>
          </w:tcPr>
          <w:p>
            <w:pPr>
              <w:pStyle w:val="7"/>
              <w:spacing w:before="45" w:line="216" w:lineRule="auto"/>
              <w:ind w:left="83"/>
              <w:jc w:val="both"/>
              <w:rPr>
                <w:rFonts w:ascii="仿宋" w:hAnsi="仿宋" w:eastAsia="仿宋"/>
                <w:spacing w:val="1"/>
                <w:sz w:val="21"/>
                <w:szCs w:val="21"/>
                <w:lang w:eastAsia="zh-CN"/>
              </w:rPr>
            </w:pPr>
          </w:p>
        </w:tc>
        <w:tc>
          <w:tcPr>
            <w:tcW w:w="7669"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(92)可燃气体管道，应科学选用和安装阻火器，</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(93)采取有效措施，避免或减少出现危险爆炸性环境，避免出现任何潜在的有效 点燃源。</w:t>
            </w:r>
          </w:p>
        </w:tc>
        <w:tc>
          <w:tcPr>
            <w:tcW w:w="2112"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37"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7.5.2</w:t>
            </w:r>
          </w:p>
        </w:tc>
        <w:tc>
          <w:tcPr>
            <w:tcW w:w="356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应妥善防护具有爆炸危险性的仪器设备</w:t>
            </w:r>
          </w:p>
        </w:tc>
        <w:tc>
          <w:tcPr>
            <w:tcW w:w="7669"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(94)使用适合的安全罩防护。</w:t>
            </w:r>
          </w:p>
        </w:tc>
        <w:tc>
          <w:tcPr>
            <w:tcW w:w="2112"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37"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8</w:t>
            </w:r>
          </w:p>
        </w:tc>
        <w:tc>
          <w:tcPr>
            <w:tcW w:w="13341"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基础安全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737"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8.1</w:t>
            </w:r>
          </w:p>
        </w:tc>
        <w:tc>
          <w:tcPr>
            <w:tcW w:w="13341"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用电、用水基础安全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2" w:hRule="atLeast"/>
        </w:trPr>
        <w:tc>
          <w:tcPr>
            <w:tcW w:w="737"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8.1.1</w:t>
            </w:r>
          </w:p>
        </w:tc>
        <w:tc>
          <w:tcPr>
            <w:tcW w:w="356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实验室用电安全应符合国家标准(导则) 和行业标准</w:t>
            </w:r>
          </w:p>
        </w:tc>
        <w:tc>
          <w:tcPr>
            <w:tcW w:w="7669"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(95)实验室配电容量、插头插座与用电设备功率须匹配，不得私自改装。</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(96)电源插座须有效固定。</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(97)电气设备应配备空气开关和漏电保护器。</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(98)不私自乱拉、乱接电线、电缆，禁止多个接线板串接供电，接线板不宜直接 置于地面。</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(99)禁止使用老化的线缆、花线、木质配电板、有破损的接线板，电线接头绝缘可靠，无裸露连接线，穿越通道的线缆应有盖板或护套，不使用老国标接线板、插座。</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(100)大功率仪器(包括空调等)使用专用插座。</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(101)电器长期不用时，应切断电源。</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(102)配电箱前不应有物品遮挡并便于操作，周围不应放置烘箱、电炉、易燃易爆 气瓶、易燃易爆化学试剂、废液桶等；配电箱的金属箱体应与箱内保护零线或保护地线可靠连接。</w:t>
            </w:r>
          </w:p>
        </w:tc>
        <w:tc>
          <w:tcPr>
            <w:tcW w:w="2112"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8" w:hRule="atLeast"/>
        </w:trPr>
        <w:tc>
          <w:tcPr>
            <w:tcW w:w="737"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8.1.2</w:t>
            </w:r>
          </w:p>
        </w:tc>
        <w:tc>
          <w:tcPr>
            <w:tcW w:w="356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给水、排水系统布置合理，运行正常</w:t>
            </w:r>
          </w:p>
        </w:tc>
        <w:tc>
          <w:tcPr>
            <w:tcW w:w="7669"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(103)水槽、地漏及下水道畅通，水龙头、上下水管无破损。</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(104)各类连接管无老化破损(特别是冷却冷凝系统的橡胶管接口处)。</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(105)各楼层及实验室的各级水管总阀须有明显的标识。</w:t>
            </w:r>
          </w:p>
        </w:tc>
        <w:tc>
          <w:tcPr>
            <w:tcW w:w="2112"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737"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8.2</w:t>
            </w:r>
          </w:p>
        </w:tc>
        <w:tc>
          <w:tcPr>
            <w:tcW w:w="13341"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个体防护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23" w:hRule="atLeast"/>
        </w:trPr>
        <w:tc>
          <w:tcPr>
            <w:tcW w:w="737"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8.2.1</w:t>
            </w:r>
          </w:p>
        </w:tc>
        <w:tc>
          <w:tcPr>
            <w:tcW w:w="356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实验人员须配备合适的个体防护用品</w:t>
            </w:r>
          </w:p>
        </w:tc>
        <w:tc>
          <w:tcPr>
            <w:tcW w:w="7669"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(106)进入实验室人员须穿着质地合适的实验服或防护服。</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(107)按需要佩戴防护眼镜、防护手套、安全帽、防护帽、呼吸器或面罩(呼吸器 或面罩在有效期内，不用时须密封放置)等。</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(108)进行化学、生物安全和高温实验时，谨慎佩戴隐形眼镜。</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(109)操作机床等旋转设备时，不得佩戴长围巾、丝巾、领带等，长发须盘在工作 帽内。</w:t>
            </w:r>
          </w:p>
        </w:tc>
        <w:tc>
          <w:tcPr>
            <w:tcW w:w="2112" w:type="dxa"/>
          </w:tcPr>
          <w:p>
            <w:pPr>
              <w:pStyle w:val="7"/>
              <w:spacing w:before="45" w:line="216" w:lineRule="auto"/>
              <w:ind w:left="83"/>
              <w:jc w:val="both"/>
              <w:rPr>
                <w:rFonts w:ascii="仿宋" w:hAnsi="仿宋" w:eastAsia="仿宋"/>
                <w:spacing w:val="1"/>
                <w:sz w:val="21"/>
                <w:szCs w:val="21"/>
                <w:lang w:eastAsia="zh-CN"/>
              </w:rPr>
            </w:pPr>
          </w:p>
        </w:tc>
      </w:tr>
    </w:tbl>
    <w:tbl>
      <w:tblPr>
        <w:tblStyle w:val="6"/>
        <w:tblpPr w:leftFromText="180" w:rightFromText="180" w:vertAnchor="text" w:horzAnchor="page" w:tblpX="1244" w:tblpY="84"/>
        <w:tblOverlap w:val="never"/>
        <w:tblW w:w="140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3622"/>
        <w:gridCol w:w="7673"/>
        <w:gridCol w:w="21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690" w:type="dxa"/>
          </w:tcPr>
          <w:p>
            <w:pPr>
              <w:pStyle w:val="7"/>
              <w:spacing w:before="36" w:line="223" w:lineRule="auto"/>
              <w:rPr>
                <w:rFonts w:ascii="黑体" w:hAnsi="黑体" w:eastAsia="黑体" w:cs="黑体"/>
                <w:sz w:val="21"/>
                <w:szCs w:val="21"/>
                <w:lang w:eastAsia="zh-CN"/>
              </w:rPr>
            </w:pPr>
            <w:r>
              <w:rPr>
                <w:rFonts w:hint="eastAsia" w:ascii="黑体" w:hAnsi="黑体" w:eastAsia="黑体" w:cs="黑体"/>
                <w:b/>
                <w:bCs/>
                <w:spacing w:val="3"/>
                <w:sz w:val="21"/>
                <w:szCs w:val="21"/>
              </w:rPr>
              <w:t>序号</w:t>
            </w:r>
          </w:p>
        </w:tc>
        <w:tc>
          <w:tcPr>
            <w:tcW w:w="3622" w:type="dxa"/>
          </w:tcPr>
          <w:p>
            <w:pPr>
              <w:pStyle w:val="7"/>
              <w:spacing w:before="36" w:line="223" w:lineRule="auto"/>
              <w:ind w:left="41"/>
              <w:rPr>
                <w:rFonts w:ascii="黑体" w:hAnsi="黑体" w:eastAsia="黑体" w:cs="黑体"/>
                <w:sz w:val="21"/>
                <w:szCs w:val="21"/>
                <w:lang w:eastAsia="zh-CN"/>
              </w:rPr>
            </w:pPr>
            <w:r>
              <w:rPr>
                <w:rFonts w:hint="eastAsia" w:ascii="黑体" w:hAnsi="黑体" w:eastAsia="黑体" w:cs="黑体"/>
                <w:b/>
                <w:bCs/>
                <w:spacing w:val="10"/>
                <w:sz w:val="21"/>
                <w:szCs w:val="21"/>
              </w:rPr>
              <w:t>检查项目</w:t>
            </w:r>
          </w:p>
        </w:tc>
        <w:tc>
          <w:tcPr>
            <w:tcW w:w="7673" w:type="dxa"/>
          </w:tcPr>
          <w:p>
            <w:pPr>
              <w:pStyle w:val="7"/>
              <w:spacing w:before="36" w:line="223" w:lineRule="auto"/>
              <w:ind w:left="75"/>
              <w:rPr>
                <w:rFonts w:ascii="黑体" w:hAnsi="黑体" w:eastAsia="黑体" w:cs="黑体"/>
                <w:sz w:val="21"/>
                <w:szCs w:val="21"/>
                <w:lang w:eastAsia="zh-CN"/>
              </w:rPr>
            </w:pPr>
            <w:r>
              <w:rPr>
                <w:rFonts w:hint="eastAsia" w:ascii="黑体" w:hAnsi="黑体" w:eastAsia="黑体" w:cs="黑体"/>
                <w:b/>
                <w:bCs/>
                <w:spacing w:val="4"/>
                <w:sz w:val="21"/>
                <w:szCs w:val="21"/>
              </w:rPr>
              <w:t>检查要点</w:t>
            </w:r>
          </w:p>
        </w:tc>
        <w:tc>
          <w:tcPr>
            <w:tcW w:w="2100" w:type="dxa"/>
          </w:tcPr>
          <w:p>
            <w:pPr>
              <w:pStyle w:val="7"/>
              <w:spacing w:before="36" w:line="223" w:lineRule="auto"/>
              <w:ind w:left="43"/>
              <w:rPr>
                <w:rFonts w:ascii="黑体" w:hAnsi="黑体" w:eastAsia="黑体" w:cs="黑体"/>
                <w:sz w:val="21"/>
                <w:szCs w:val="21"/>
                <w:lang w:eastAsia="zh-CN"/>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690" w:type="dxa"/>
          </w:tcPr>
          <w:p>
            <w:pPr>
              <w:pStyle w:val="7"/>
              <w:spacing w:before="45" w:line="216" w:lineRule="auto"/>
              <w:ind w:left="83"/>
              <w:jc w:val="both"/>
              <w:rPr>
                <w:rFonts w:ascii="仿宋" w:hAnsi="仿宋" w:eastAsia="仿宋"/>
                <w:spacing w:val="1"/>
                <w:sz w:val="21"/>
                <w:szCs w:val="21"/>
                <w:lang w:eastAsia="zh-CN"/>
              </w:rPr>
            </w:pPr>
          </w:p>
        </w:tc>
        <w:tc>
          <w:tcPr>
            <w:tcW w:w="3622" w:type="dxa"/>
          </w:tcPr>
          <w:p>
            <w:pPr>
              <w:pStyle w:val="7"/>
              <w:spacing w:before="45" w:line="216" w:lineRule="auto"/>
              <w:ind w:left="83"/>
              <w:jc w:val="both"/>
              <w:rPr>
                <w:rFonts w:ascii="仿宋" w:hAnsi="仿宋" w:eastAsia="仿宋"/>
                <w:spacing w:val="1"/>
                <w:sz w:val="21"/>
                <w:szCs w:val="21"/>
                <w:lang w:eastAsia="zh-CN"/>
              </w:rPr>
            </w:pPr>
          </w:p>
        </w:tc>
        <w:tc>
          <w:tcPr>
            <w:tcW w:w="7673"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(110)穿着化学、生物类实验服或戴实验手套时，不得随意进入非实验区。</w:t>
            </w:r>
          </w:p>
        </w:tc>
        <w:tc>
          <w:tcPr>
            <w:tcW w:w="210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9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8.2.2</w:t>
            </w:r>
          </w:p>
        </w:tc>
        <w:tc>
          <w:tcPr>
            <w:tcW w:w="3622"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个体防护用品合理存放，存放地点有明显标识</w:t>
            </w:r>
          </w:p>
        </w:tc>
        <w:tc>
          <w:tcPr>
            <w:tcW w:w="7673"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(111)在紧急情况须使用的个体防护器具应分散存放在安全场所，以便于取用。</w:t>
            </w:r>
          </w:p>
        </w:tc>
        <w:tc>
          <w:tcPr>
            <w:tcW w:w="210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9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8.2.3</w:t>
            </w:r>
          </w:p>
        </w:tc>
        <w:tc>
          <w:tcPr>
            <w:tcW w:w="3622"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各类个体防护用品的使用有培训及定期检查维护记录</w:t>
            </w:r>
          </w:p>
        </w:tc>
        <w:tc>
          <w:tcPr>
            <w:tcW w:w="7673"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(112)检查培训及维护记录。</w:t>
            </w:r>
          </w:p>
        </w:tc>
        <w:tc>
          <w:tcPr>
            <w:tcW w:w="210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690"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8.3</w:t>
            </w:r>
          </w:p>
        </w:tc>
        <w:tc>
          <w:tcPr>
            <w:tcW w:w="13395" w:type="dxa"/>
            <w:gridSpan w:val="3"/>
            <w:vAlign w:val="center"/>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9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8.3.1</w:t>
            </w:r>
          </w:p>
        </w:tc>
        <w:tc>
          <w:tcPr>
            <w:tcW w:w="3622"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危险性实验(如高温、高压、高速运转等) 时必须有两人在场</w:t>
            </w:r>
          </w:p>
        </w:tc>
        <w:tc>
          <w:tcPr>
            <w:tcW w:w="7673"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(113)实验时不能脱岗，通宵实验须两人在场并有事先审批制度。</w:t>
            </w:r>
          </w:p>
        </w:tc>
        <w:tc>
          <w:tcPr>
            <w:tcW w:w="210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69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8.3.2</w:t>
            </w:r>
          </w:p>
        </w:tc>
        <w:tc>
          <w:tcPr>
            <w:tcW w:w="3622"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实验台面整洁、实验记录规范</w:t>
            </w:r>
          </w:p>
        </w:tc>
        <w:tc>
          <w:tcPr>
            <w:tcW w:w="7673"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(114)查看实验台面和实验记录。</w:t>
            </w:r>
          </w:p>
        </w:tc>
        <w:tc>
          <w:tcPr>
            <w:tcW w:w="210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690"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9</w:t>
            </w:r>
          </w:p>
        </w:tc>
        <w:tc>
          <w:tcPr>
            <w:tcW w:w="13395"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化学安全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690"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9.1</w:t>
            </w:r>
          </w:p>
        </w:tc>
        <w:tc>
          <w:tcPr>
            <w:tcW w:w="13395"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危险化学品储存区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69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9.1.1</w:t>
            </w:r>
          </w:p>
        </w:tc>
        <w:tc>
          <w:tcPr>
            <w:tcW w:w="3622"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学校建有危险化学品储存区并规范管理</w:t>
            </w:r>
          </w:p>
        </w:tc>
        <w:tc>
          <w:tcPr>
            <w:tcW w:w="7673"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(115)危险化学品储存区须有通风、隔热、避光、防盗、防爆、防静电、泄漏报警、应急喷淋、安全警示标识等措施，符合相关规定，专人管理。</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(116)危险化学品储存区的消防设施符合国家相关规定，正确配备灭火器材(如灭 火器、灭火毯、砂箱、自动喷淋等)。</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(117)危险化学品储存区不能建设在地下或半地下，不得建设在实验楼内。若只能  在实验楼内存放，则应按照实验室的标准要求管理(见“9.3实验室化学品的存放”)。</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(118)危险化学品储存区的试剂不混放，整箱试剂的叠加高度不大于1.5m。</w:t>
            </w:r>
          </w:p>
        </w:tc>
        <w:tc>
          <w:tcPr>
            <w:tcW w:w="210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690"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9.2</w:t>
            </w:r>
          </w:p>
        </w:tc>
        <w:tc>
          <w:tcPr>
            <w:tcW w:w="13395"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危险化学品购置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9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9.2.1</w:t>
            </w:r>
          </w:p>
        </w:tc>
        <w:tc>
          <w:tcPr>
            <w:tcW w:w="3622"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危险化学品采购须符合要求</w:t>
            </w:r>
          </w:p>
        </w:tc>
        <w:tc>
          <w:tcPr>
            <w:tcW w:w="7673"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(119)危险化学品须向具有生产经营许可资质的单位购买，查看相关供应商的经营 许可资质证书复印件。进口危险化学品应当向国务院安全生产监督管理部门负责危险化学品登记的机构办理危险化学品登记。</w:t>
            </w:r>
          </w:p>
        </w:tc>
        <w:tc>
          <w:tcPr>
            <w:tcW w:w="210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1" w:hRule="atLeast"/>
        </w:trPr>
        <w:tc>
          <w:tcPr>
            <w:tcW w:w="69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9.2.2</w:t>
            </w:r>
          </w:p>
        </w:tc>
        <w:tc>
          <w:tcPr>
            <w:tcW w:w="3622" w:type="dxa"/>
            <w:vAlign w:val="center"/>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剧毒品、易制爆品、易制毒品、爆炸品的购买程序合规</w:t>
            </w:r>
          </w:p>
        </w:tc>
        <w:tc>
          <w:tcPr>
            <w:tcW w:w="7673"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(120)购买前须经学校审批，报公安部门批准或备案后，向具有经营许可资质的单 位购买，并保留报批及审批记录。</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(121)建立购买、验收、使用等台账资料。</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(122)不得私自从外单位获取管制类化学品，也不得给外单位或个人提供管制化学 品。</w:t>
            </w:r>
          </w:p>
        </w:tc>
        <w:tc>
          <w:tcPr>
            <w:tcW w:w="210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9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9.2.3</w:t>
            </w:r>
          </w:p>
        </w:tc>
        <w:tc>
          <w:tcPr>
            <w:tcW w:w="3622"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麻醉药品、精神药品等购买前须向食品药品监督管理部门申请</w:t>
            </w:r>
          </w:p>
        </w:tc>
        <w:tc>
          <w:tcPr>
            <w:tcW w:w="7673"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(123)报批同意后向定点供应商或者定点生产企业采购。</w:t>
            </w:r>
          </w:p>
        </w:tc>
        <w:tc>
          <w:tcPr>
            <w:tcW w:w="210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69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9.2.4</w:t>
            </w:r>
          </w:p>
        </w:tc>
        <w:tc>
          <w:tcPr>
            <w:tcW w:w="3622"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校内危险化学品的运输安全</w:t>
            </w:r>
          </w:p>
        </w:tc>
        <w:tc>
          <w:tcPr>
            <w:tcW w:w="7673"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(124)现场抽查，校园内的运输车辆、运送人员、送货方式等符合相关规范。</w:t>
            </w:r>
          </w:p>
        </w:tc>
        <w:tc>
          <w:tcPr>
            <w:tcW w:w="2100" w:type="dxa"/>
          </w:tcPr>
          <w:p>
            <w:pPr>
              <w:pStyle w:val="7"/>
              <w:spacing w:before="45" w:line="216" w:lineRule="auto"/>
              <w:ind w:left="83"/>
              <w:jc w:val="both"/>
              <w:rPr>
                <w:rFonts w:ascii="仿宋" w:hAnsi="仿宋" w:eastAsia="仿宋"/>
                <w:spacing w:val="1"/>
                <w:sz w:val="21"/>
                <w:szCs w:val="21"/>
                <w:lang w:eastAsia="zh-CN"/>
              </w:rPr>
            </w:pPr>
          </w:p>
        </w:tc>
      </w:tr>
    </w:tbl>
    <w:p>
      <w:pPr>
        <w:pStyle w:val="7"/>
        <w:spacing w:before="45" w:line="216" w:lineRule="auto"/>
        <w:jc w:val="both"/>
        <w:rPr>
          <w:rFonts w:ascii="仿宋" w:hAnsi="仿宋" w:eastAsia="仿宋"/>
          <w:spacing w:val="1"/>
          <w:sz w:val="21"/>
          <w:szCs w:val="21"/>
          <w:lang w:eastAsia="zh-CN"/>
        </w:rPr>
        <w:sectPr>
          <w:footerReference r:id="rId10" w:type="default"/>
          <w:pgSz w:w="16841" w:h="11912"/>
          <w:pgMar w:top="1012" w:right="2040" w:bottom="1715" w:left="1819" w:header="0" w:footer="1597" w:gutter="0"/>
          <w:cols w:space="720" w:num="1"/>
        </w:sectPr>
      </w:pPr>
    </w:p>
    <w:tbl>
      <w:tblPr>
        <w:tblStyle w:val="6"/>
        <w:tblpPr w:leftFromText="180" w:rightFromText="180" w:vertAnchor="text" w:horzAnchor="page" w:tblpX="1259" w:tblpY="147"/>
        <w:tblOverlap w:val="never"/>
        <w:tblW w:w="1405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3574"/>
        <w:gridCol w:w="7736"/>
        <w:gridCol w:w="20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690" w:type="dxa"/>
          </w:tcPr>
          <w:p>
            <w:pPr>
              <w:pStyle w:val="7"/>
              <w:spacing w:before="36" w:line="223" w:lineRule="auto"/>
              <w:rPr>
                <w:rFonts w:ascii="黑体" w:hAnsi="黑体" w:eastAsia="黑体" w:cs="黑体"/>
                <w:sz w:val="21"/>
                <w:szCs w:val="21"/>
                <w:lang w:eastAsia="zh-CN"/>
              </w:rPr>
            </w:pPr>
            <w:r>
              <w:rPr>
                <w:rFonts w:hint="eastAsia" w:ascii="黑体" w:hAnsi="黑体" w:eastAsia="黑体" w:cs="黑体"/>
                <w:b/>
                <w:bCs/>
                <w:spacing w:val="3"/>
                <w:sz w:val="21"/>
                <w:szCs w:val="21"/>
              </w:rPr>
              <w:t>序号</w:t>
            </w:r>
          </w:p>
        </w:tc>
        <w:tc>
          <w:tcPr>
            <w:tcW w:w="3574" w:type="dxa"/>
          </w:tcPr>
          <w:p>
            <w:pPr>
              <w:pStyle w:val="7"/>
              <w:spacing w:before="36" w:line="223" w:lineRule="auto"/>
              <w:ind w:left="41"/>
              <w:rPr>
                <w:rFonts w:ascii="黑体" w:hAnsi="黑体" w:eastAsia="黑体" w:cs="黑体"/>
                <w:sz w:val="21"/>
                <w:szCs w:val="21"/>
                <w:lang w:eastAsia="zh-CN"/>
              </w:rPr>
            </w:pPr>
            <w:r>
              <w:rPr>
                <w:rFonts w:hint="eastAsia" w:ascii="黑体" w:hAnsi="黑体" w:eastAsia="黑体" w:cs="黑体"/>
                <w:b/>
                <w:bCs/>
                <w:spacing w:val="10"/>
                <w:sz w:val="21"/>
                <w:szCs w:val="21"/>
              </w:rPr>
              <w:t>检查项目</w:t>
            </w:r>
          </w:p>
        </w:tc>
        <w:tc>
          <w:tcPr>
            <w:tcW w:w="7736" w:type="dxa"/>
          </w:tcPr>
          <w:p>
            <w:pPr>
              <w:pStyle w:val="7"/>
              <w:spacing w:before="36" w:line="223" w:lineRule="auto"/>
              <w:ind w:left="75"/>
              <w:rPr>
                <w:rFonts w:ascii="黑体" w:hAnsi="黑体" w:eastAsia="黑体" w:cs="黑体"/>
                <w:sz w:val="21"/>
                <w:szCs w:val="21"/>
                <w:lang w:eastAsia="zh-CN"/>
              </w:rPr>
            </w:pPr>
            <w:r>
              <w:rPr>
                <w:rFonts w:hint="eastAsia" w:ascii="黑体" w:hAnsi="黑体" w:eastAsia="黑体" w:cs="黑体"/>
                <w:b/>
                <w:bCs/>
                <w:spacing w:val="4"/>
                <w:sz w:val="21"/>
                <w:szCs w:val="21"/>
              </w:rPr>
              <w:t>检查要点</w:t>
            </w:r>
          </w:p>
        </w:tc>
        <w:tc>
          <w:tcPr>
            <w:tcW w:w="2055" w:type="dxa"/>
          </w:tcPr>
          <w:p>
            <w:pPr>
              <w:pStyle w:val="7"/>
              <w:spacing w:before="36" w:line="223" w:lineRule="auto"/>
              <w:ind w:left="43"/>
              <w:rPr>
                <w:rFonts w:ascii="黑体" w:hAnsi="黑体" w:eastAsia="黑体" w:cs="黑体"/>
                <w:sz w:val="21"/>
                <w:szCs w:val="21"/>
                <w:lang w:eastAsia="zh-CN"/>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90"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9.3</w:t>
            </w:r>
          </w:p>
        </w:tc>
        <w:tc>
          <w:tcPr>
            <w:tcW w:w="13365"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实验室化学品存放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9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9.3.1</w:t>
            </w:r>
          </w:p>
        </w:tc>
        <w:tc>
          <w:tcPr>
            <w:tcW w:w="3574"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实验室内危险化学品建有动态台账</w:t>
            </w:r>
          </w:p>
        </w:tc>
        <w:tc>
          <w:tcPr>
            <w:tcW w:w="7736"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(125)建立实验室危险化学品动态台账，并有危险化学品安全技术说明书(SDS) 或安全周知卡，方便查阅。</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(126)定期清理废旧试剂，无累积现象。</w:t>
            </w:r>
          </w:p>
        </w:tc>
        <w:tc>
          <w:tcPr>
            <w:tcW w:w="205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0" w:hRule="atLeast"/>
        </w:trPr>
        <w:tc>
          <w:tcPr>
            <w:tcW w:w="69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9.3.2</w:t>
            </w:r>
          </w:p>
        </w:tc>
        <w:tc>
          <w:tcPr>
            <w:tcW w:w="3574"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化学品有专用存放空间并科学有序存放</w:t>
            </w:r>
          </w:p>
        </w:tc>
        <w:tc>
          <w:tcPr>
            <w:tcW w:w="7736"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(127)储藏室、储藏区、储存柜等应通风、隔热、避免阳光直射。</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(128)易泄漏、易挥发的试剂存放设备与地点应保证充足的通风。</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(129)试剂柜中不能有电源插座或接线板。</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(130)化学品有序分类存放，固体、液体不混乱放置，互为禁忌的化学品不得混放，试剂不得叠放。有机溶剂储存区应远离热源和火源。装有试剂的试剂瓶不得开口放置。实验台架无挡板不得存放化学试剂。</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(131)配备必要的二次泄漏防护、吸附或防溢流功能。</w:t>
            </w:r>
          </w:p>
        </w:tc>
        <w:tc>
          <w:tcPr>
            <w:tcW w:w="205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69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9.3.3</w:t>
            </w:r>
          </w:p>
        </w:tc>
        <w:tc>
          <w:tcPr>
            <w:tcW w:w="3574" w:type="dxa"/>
            <w:vAlign w:val="center"/>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实验室内存放的危险化学品总量符合规定要求</w:t>
            </w:r>
          </w:p>
        </w:tc>
        <w:tc>
          <w:tcPr>
            <w:tcW w:w="7736"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(132)危险化学品(不含压缩气体和液化气体)原则上不应超过100L或100Kg, 其中易燃易爆性化学品的存放总量不应超过50L或50Kg,且单一包装容器不应大于20L或20Kg(按50m²为标准，存放量按实验室面积比考量)。</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(133)常年大量使用易燃易爆溶剂或气体须加装泄漏报警器，储存部位应加装常时 排风或与检测报警联动排风装置。</w:t>
            </w:r>
          </w:p>
        </w:tc>
        <w:tc>
          <w:tcPr>
            <w:tcW w:w="205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69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9.3.4</w:t>
            </w:r>
          </w:p>
        </w:tc>
        <w:tc>
          <w:tcPr>
            <w:tcW w:w="3574"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化学品标签应显著、完整、清晰</w:t>
            </w:r>
          </w:p>
        </w:tc>
        <w:tc>
          <w:tcPr>
            <w:tcW w:w="7736"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(134)化学品包装物上须有符合规定的化学品标签，</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(135)当化学品由原包装物转移或分装到其他包装物内时，转移或分装后的包装物 应及时重新粘贴标识。化学品标签脱落、模糊、腐蚀后应及时补上，如不能确认， 则按不明废弃化学品处置。</w:t>
            </w:r>
          </w:p>
        </w:tc>
        <w:tc>
          <w:tcPr>
            <w:tcW w:w="205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69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9.3.5</w:t>
            </w:r>
          </w:p>
        </w:tc>
        <w:tc>
          <w:tcPr>
            <w:tcW w:w="3574"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其他化学品存放</w:t>
            </w:r>
          </w:p>
        </w:tc>
        <w:tc>
          <w:tcPr>
            <w:tcW w:w="7736"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(136)装有配制试剂、合成品、样品等的容器上标签信息明确，标签信息包括名称 或编号、使用人、日期等。</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(137)无使用饮料瓶存放试剂，样品的现象，如确需使用，必须撕去原包装纸，贴 上试剂标签。</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(138)不使用破损量简、试管、移液管等玻璃器皿。</w:t>
            </w:r>
          </w:p>
        </w:tc>
        <w:tc>
          <w:tcPr>
            <w:tcW w:w="205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690"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9.4</w:t>
            </w:r>
          </w:p>
        </w:tc>
        <w:tc>
          <w:tcPr>
            <w:tcW w:w="13365"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实验操作安全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9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9.4.1</w:t>
            </w:r>
          </w:p>
        </w:tc>
        <w:tc>
          <w:tcPr>
            <w:tcW w:w="357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制定危险实验、危险化工工艺指导书、各类标准操作规程(SOP)、应急预案</w:t>
            </w:r>
          </w:p>
        </w:tc>
        <w:tc>
          <w:tcPr>
            <w:tcW w:w="7736"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(139)危险化工工艺指导书和应急预案上墙或便于取阅，实验人员熟悉所涉及的危 险性及应急处理措施，按照危险化工工艺指导书进行实验。</w:t>
            </w:r>
          </w:p>
        </w:tc>
        <w:tc>
          <w:tcPr>
            <w:tcW w:w="205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69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9.4.2</w:t>
            </w:r>
          </w:p>
        </w:tc>
        <w:tc>
          <w:tcPr>
            <w:tcW w:w="3574"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危险化工工艺和装置应设置自动控制</w:t>
            </w:r>
          </w:p>
        </w:tc>
        <w:tc>
          <w:tcPr>
            <w:tcW w:w="7736"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(140)涉及危险化工工艺、重点监管危险化学品的反应装置应设置自动化控制系统。</w:t>
            </w:r>
          </w:p>
        </w:tc>
        <w:tc>
          <w:tcPr>
            <w:tcW w:w="2055" w:type="dxa"/>
          </w:tcPr>
          <w:p>
            <w:pPr>
              <w:pStyle w:val="7"/>
              <w:spacing w:before="45" w:line="216" w:lineRule="auto"/>
              <w:ind w:left="83"/>
              <w:jc w:val="both"/>
              <w:rPr>
                <w:rFonts w:ascii="仿宋" w:hAnsi="仿宋" w:eastAsia="仿宋"/>
                <w:spacing w:val="1"/>
                <w:sz w:val="21"/>
                <w:szCs w:val="21"/>
                <w:lang w:eastAsia="zh-CN"/>
              </w:rPr>
            </w:pPr>
          </w:p>
        </w:tc>
      </w:tr>
    </w:tbl>
    <w:p>
      <w:pPr>
        <w:pStyle w:val="7"/>
        <w:jc w:val="both"/>
        <w:rPr>
          <w:rFonts w:ascii="仿宋" w:hAnsi="仿宋" w:eastAsia="仿宋"/>
          <w:spacing w:val="1"/>
          <w:sz w:val="21"/>
          <w:szCs w:val="21"/>
          <w:lang w:eastAsia="zh-CN"/>
        </w:rPr>
        <w:sectPr>
          <w:footerReference r:id="rId11" w:type="default"/>
          <w:pgSz w:w="16841" w:h="11912"/>
          <w:pgMar w:top="1012" w:right="1932" w:bottom="1681" w:left="1848" w:header="0" w:footer="1556" w:gutter="0"/>
          <w:cols w:space="720" w:num="1"/>
        </w:sectPr>
      </w:pPr>
    </w:p>
    <w:tbl>
      <w:tblPr>
        <w:tblStyle w:val="6"/>
        <w:tblpPr w:leftFromText="180" w:rightFromText="180" w:vertAnchor="text" w:horzAnchor="page" w:tblpX="1259" w:tblpY="150"/>
        <w:tblOverlap w:val="never"/>
        <w:tblW w:w="140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3518"/>
        <w:gridCol w:w="7784"/>
        <w:gridCol w:w="20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03" w:type="dxa"/>
          </w:tcPr>
          <w:p>
            <w:pPr>
              <w:pStyle w:val="7"/>
              <w:spacing w:before="36" w:line="223" w:lineRule="auto"/>
              <w:rPr>
                <w:rFonts w:ascii="黑体" w:hAnsi="黑体" w:eastAsia="黑体" w:cs="黑体"/>
                <w:sz w:val="21"/>
                <w:szCs w:val="21"/>
                <w:lang w:eastAsia="zh-CN"/>
              </w:rPr>
            </w:pPr>
            <w:r>
              <w:rPr>
                <w:rFonts w:hint="eastAsia" w:ascii="黑体" w:hAnsi="黑体" w:eastAsia="黑体" w:cs="黑体"/>
                <w:b/>
                <w:bCs/>
                <w:spacing w:val="3"/>
                <w:sz w:val="21"/>
                <w:szCs w:val="21"/>
              </w:rPr>
              <w:t>序号</w:t>
            </w:r>
          </w:p>
        </w:tc>
        <w:tc>
          <w:tcPr>
            <w:tcW w:w="3518" w:type="dxa"/>
          </w:tcPr>
          <w:p>
            <w:pPr>
              <w:pStyle w:val="7"/>
              <w:spacing w:before="36" w:line="223" w:lineRule="auto"/>
              <w:ind w:left="41"/>
              <w:rPr>
                <w:rFonts w:ascii="黑体" w:hAnsi="黑体" w:eastAsia="黑体" w:cs="黑体"/>
                <w:sz w:val="21"/>
                <w:szCs w:val="21"/>
                <w:lang w:eastAsia="zh-CN"/>
              </w:rPr>
            </w:pPr>
            <w:r>
              <w:rPr>
                <w:rFonts w:hint="eastAsia" w:ascii="黑体" w:hAnsi="黑体" w:eastAsia="黑体" w:cs="黑体"/>
                <w:b/>
                <w:bCs/>
                <w:spacing w:val="10"/>
                <w:sz w:val="21"/>
                <w:szCs w:val="21"/>
              </w:rPr>
              <w:t>检查项目</w:t>
            </w:r>
          </w:p>
        </w:tc>
        <w:tc>
          <w:tcPr>
            <w:tcW w:w="7784" w:type="dxa"/>
          </w:tcPr>
          <w:p>
            <w:pPr>
              <w:pStyle w:val="7"/>
              <w:spacing w:before="36" w:line="223" w:lineRule="auto"/>
              <w:ind w:left="75"/>
              <w:rPr>
                <w:rFonts w:ascii="黑体" w:hAnsi="黑体" w:eastAsia="黑体" w:cs="黑体"/>
                <w:sz w:val="21"/>
                <w:szCs w:val="21"/>
                <w:lang w:eastAsia="zh-CN"/>
              </w:rPr>
            </w:pPr>
            <w:r>
              <w:rPr>
                <w:rFonts w:hint="eastAsia" w:ascii="黑体" w:hAnsi="黑体" w:eastAsia="黑体" w:cs="黑体"/>
                <w:b/>
                <w:bCs/>
                <w:spacing w:val="4"/>
                <w:sz w:val="21"/>
                <w:szCs w:val="21"/>
              </w:rPr>
              <w:t>检查要点</w:t>
            </w:r>
          </w:p>
        </w:tc>
        <w:tc>
          <w:tcPr>
            <w:tcW w:w="2080" w:type="dxa"/>
          </w:tcPr>
          <w:p>
            <w:pPr>
              <w:pStyle w:val="7"/>
              <w:spacing w:before="36" w:line="223" w:lineRule="auto"/>
              <w:ind w:left="43"/>
              <w:rPr>
                <w:rFonts w:ascii="黑体" w:hAnsi="黑体" w:eastAsia="黑体" w:cs="黑体"/>
                <w:sz w:val="21"/>
                <w:szCs w:val="21"/>
                <w:lang w:eastAsia="zh-CN"/>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03" w:type="dxa"/>
          </w:tcPr>
          <w:p>
            <w:pPr>
              <w:pStyle w:val="7"/>
              <w:spacing w:before="45" w:line="216" w:lineRule="auto"/>
              <w:ind w:left="83"/>
              <w:jc w:val="both"/>
              <w:rPr>
                <w:rFonts w:ascii="仿宋" w:hAnsi="仿宋" w:eastAsia="仿宋"/>
                <w:spacing w:val="1"/>
                <w:sz w:val="21"/>
                <w:szCs w:val="21"/>
                <w:lang w:eastAsia="zh-CN"/>
              </w:rPr>
            </w:pPr>
          </w:p>
        </w:tc>
        <w:tc>
          <w:tcPr>
            <w:tcW w:w="3518"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和电源冗余设计</w:t>
            </w:r>
          </w:p>
        </w:tc>
        <w:tc>
          <w:tcPr>
            <w:tcW w:w="778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(141)涉及放热反应的危险化工工艺生产装置应设置双重电源供电或控制系统应配 置不间断电源。</w:t>
            </w:r>
          </w:p>
        </w:tc>
        <w:tc>
          <w:tcPr>
            <w:tcW w:w="208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03"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9,4.3</w:t>
            </w:r>
          </w:p>
        </w:tc>
        <w:tc>
          <w:tcPr>
            <w:tcW w:w="3518"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做好有毒有害废气的处理和防护</w:t>
            </w:r>
          </w:p>
        </w:tc>
        <w:tc>
          <w:tcPr>
            <w:tcW w:w="778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(142)对于产生有毒有害废气的实验，须在通风柜中进行，并在实验装置尾端配有 气体吸收装置，操作者佩戴合适有效的呼吸防护用具。</w:t>
            </w:r>
          </w:p>
        </w:tc>
        <w:tc>
          <w:tcPr>
            <w:tcW w:w="208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703"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9.5</w:t>
            </w:r>
          </w:p>
        </w:tc>
        <w:tc>
          <w:tcPr>
            <w:tcW w:w="13382"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管制类化学品管理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703"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9.5.1</w:t>
            </w:r>
          </w:p>
        </w:tc>
        <w:tc>
          <w:tcPr>
            <w:tcW w:w="3518"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剧毒化学品执行“五双 ”管理(即双人验收、双人保管、双人发货、双把锁、双本账),技防措施符合管制要求</w:t>
            </w:r>
          </w:p>
        </w:tc>
        <w:tc>
          <w:tcPr>
            <w:tcW w:w="778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(143)单独存放，不得与易燃、易爆、腐蚀性物品等一起存放。</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(144)有专人管理并做好贮存、领取、发放情况登记，登记资料至少保存1年。</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(145)防盗安全门应符合GB17565《防盗安全门通用技术条件》的要求，防盗安全级别为乙级(含)以上，防盗锁应符合GA/T73《机械防盗锁》的要求，防盗保险柜应符合GB10409《防盗保险柜》的要求，监控管控执行公安部门的要求。</w:t>
            </w:r>
          </w:p>
        </w:tc>
        <w:tc>
          <w:tcPr>
            <w:tcW w:w="208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03"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9.5.2</w:t>
            </w:r>
          </w:p>
        </w:tc>
        <w:tc>
          <w:tcPr>
            <w:tcW w:w="3518"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易制毒化学品储存规范，台账清晰</w:t>
            </w:r>
          </w:p>
        </w:tc>
        <w:tc>
          <w:tcPr>
            <w:tcW w:w="778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(146)应设置专用存储区或者专柜储存并有防盗措施。</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(147)第一类易制毒化学品、药品类易制毒化学品实行双人双锁管理，账册保存期 限不少于2年。</w:t>
            </w:r>
          </w:p>
        </w:tc>
        <w:tc>
          <w:tcPr>
            <w:tcW w:w="208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703"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9.5.3</w:t>
            </w:r>
          </w:p>
        </w:tc>
        <w:tc>
          <w:tcPr>
            <w:tcW w:w="3518"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易制爆化学品存量合规、双人双锁保管</w:t>
            </w:r>
          </w:p>
        </w:tc>
        <w:tc>
          <w:tcPr>
            <w:tcW w:w="778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(148)易制爆化学品存量合规。</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(149)存放场所出入口应设置防盗安全门，或存放在专用储存柜内，储存场所防盗 安全级别应为乙级(含)以上，专用储存柜应具有防盗功能，符合双人双锁管理要求，台账账册保存期限不少于1年。</w:t>
            </w:r>
          </w:p>
        </w:tc>
        <w:tc>
          <w:tcPr>
            <w:tcW w:w="208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703"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9.5.4</w:t>
            </w:r>
          </w:p>
        </w:tc>
        <w:tc>
          <w:tcPr>
            <w:tcW w:w="3518"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麻醉药品和第一类精神药品管理符合“双人双锁 ”要求，有专用账册</w:t>
            </w:r>
          </w:p>
        </w:tc>
        <w:tc>
          <w:tcPr>
            <w:tcW w:w="778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(150)设立专库或者专柜储存，专库应当设有防盗设施并安装报警装置，专柜应当 使用保险柜，专库和专柜应当实行双人双锁管理。</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(151)配备专人管理并建立专用账册，专用账册的保存期限应当自药品有效期期满 之日起不少于5年。</w:t>
            </w:r>
          </w:p>
        </w:tc>
        <w:tc>
          <w:tcPr>
            <w:tcW w:w="208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03"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9.5.5</w:t>
            </w:r>
          </w:p>
        </w:tc>
        <w:tc>
          <w:tcPr>
            <w:tcW w:w="3518"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爆炸品单独隔离、限量存储，使用、销毁按照公安部门的要求执行</w:t>
            </w:r>
          </w:p>
        </w:tc>
        <w:tc>
          <w:tcPr>
            <w:tcW w:w="7784"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(152)收存和发放民用爆炸物品必须进行登记，做到账目清楚，账物相符。</w:t>
            </w:r>
          </w:p>
        </w:tc>
        <w:tc>
          <w:tcPr>
            <w:tcW w:w="208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703"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9.6</w:t>
            </w:r>
          </w:p>
        </w:tc>
        <w:tc>
          <w:tcPr>
            <w:tcW w:w="13382"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实验气体管理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03"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9.6.1</w:t>
            </w:r>
          </w:p>
        </w:tc>
        <w:tc>
          <w:tcPr>
            <w:tcW w:w="3518"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从合格供应商处采购实验气体，建立气体 (气瓶)台账</w:t>
            </w:r>
          </w:p>
        </w:tc>
        <w:tc>
          <w:tcPr>
            <w:tcW w:w="7784"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(153)查看记录。</w:t>
            </w:r>
          </w:p>
        </w:tc>
        <w:tc>
          <w:tcPr>
            <w:tcW w:w="208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703"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9.6.2</w:t>
            </w:r>
          </w:p>
        </w:tc>
        <w:tc>
          <w:tcPr>
            <w:tcW w:w="3518"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气体(气瓶)的存放和使用符合相关要求</w:t>
            </w:r>
          </w:p>
        </w:tc>
        <w:tc>
          <w:tcPr>
            <w:tcW w:w="778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(154)气体(气瓶)存放点须通风、远离热源、避免暴晒，地面平整干燥。</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(155)气瓶应合理固定。</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(156)危险气体气瓶尽量置于室外，室内放置应使用常时排风且带监测报警装置的 气瓶柜。</w:t>
            </w:r>
          </w:p>
        </w:tc>
        <w:tc>
          <w:tcPr>
            <w:tcW w:w="2080" w:type="dxa"/>
          </w:tcPr>
          <w:p>
            <w:pPr>
              <w:pStyle w:val="7"/>
              <w:spacing w:before="45" w:line="216" w:lineRule="auto"/>
              <w:ind w:left="83"/>
              <w:jc w:val="both"/>
              <w:rPr>
                <w:rFonts w:ascii="仿宋" w:hAnsi="仿宋" w:eastAsia="仿宋"/>
                <w:spacing w:val="1"/>
                <w:sz w:val="21"/>
                <w:szCs w:val="21"/>
                <w:lang w:eastAsia="zh-CN"/>
              </w:rPr>
            </w:pPr>
          </w:p>
        </w:tc>
      </w:tr>
    </w:tbl>
    <w:p>
      <w:pPr>
        <w:pStyle w:val="7"/>
        <w:spacing w:before="45" w:line="216" w:lineRule="auto"/>
        <w:jc w:val="both"/>
        <w:rPr>
          <w:rFonts w:ascii="仿宋" w:hAnsi="仿宋" w:eastAsia="仿宋"/>
          <w:spacing w:val="1"/>
          <w:sz w:val="21"/>
          <w:szCs w:val="21"/>
          <w:lang w:eastAsia="zh-CN"/>
        </w:rPr>
      </w:pPr>
    </w:p>
    <w:p>
      <w:pPr>
        <w:pStyle w:val="7"/>
        <w:spacing w:before="45" w:line="216" w:lineRule="auto"/>
        <w:jc w:val="center"/>
        <w:rPr>
          <w:spacing w:val="1"/>
          <w:sz w:val="13"/>
          <w:szCs w:val="13"/>
          <w:lang w:eastAsia="zh-CN"/>
        </w:rPr>
      </w:pPr>
      <w:r>
        <w:rPr>
          <w:rFonts w:hint="eastAsia"/>
          <w:spacing w:val="1"/>
          <w:sz w:val="13"/>
          <w:szCs w:val="13"/>
          <w:lang w:eastAsia="zh-CN"/>
        </w:rPr>
        <w:t>11</w:t>
      </w:r>
    </w:p>
    <w:p>
      <w:pPr>
        <w:pStyle w:val="7"/>
        <w:spacing w:before="45" w:line="216" w:lineRule="auto"/>
        <w:ind w:left="83"/>
        <w:jc w:val="center"/>
        <w:rPr>
          <w:spacing w:val="1"/>
          <w:sz w:val="13"/>
          <w:szCs w:val="13"/>
          <w:lang w:eastAsia="zh-CN"/>
        </w:rPr>
        <w:sectPr>
          <w:footerReference r:id="rId12" w:type="default"/>
          <w:pgSz w:w="16841" w:h="11912"/>
          <w:pgMar w:top="1012" w:right="2018" w:bottom="400" w:left="1819" w:header="0" w:footer="0" w:gutter="0"/>
          <w:cols w:space="720" w:num="1"/>
        </w:sectPr>
      </w:pPr>
    </w:p>
    <w:tbl>
      <w:tblPr>
        <w:tblStyle w:val="6"/>
        <w:tblpPr w:leftFromText="180" w:rightFromText="180" w:vertAnchor="text" w:horzAnchor="page" w:tblpX="1274" w:tblpY="241"/>
        <w:tblOverlap w:val="never"/>
        <w:tblW w:w="141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3524"/>
        <w:gridCol w:w="7818"/>
        <w:gridCol w:w="21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681" w:type="dxa"/>
          </w:tcPr>
          <w:p>
            <w:pPr>
              <w:pStyle w:val="7"/>
              <w:spacing w:before="36" w:line="223" w:lineRule="auto"/>
              <w:rPr>
                <w:rFonts w:ascii="黑体" w:hAnsi="黑体" w:eastAsia="黑体" w:cs="黑体"/>
                <w:sz w:val="21"/>
                <w:szCs w:val="21"/>
                <w:lang w:eastAsia="zh-CN"/>
              </w:rPr>
            </w:pPr>
            <w:r>
              <w:rPr>
                <w:rFonts w:hint="eastAsia" w:ascii="黑体" w:hAnsi="黑体" w:eastAsia="黑体" w:cs="黑体"/>
                <w:b/>
                <w:bCs/>
                <w:spacing w:val="3"/>
                <w:sz w:val="21"/>
                <w:szCs w:val="21"/>
              </w:rPr>
              <w:t>序号</w:t>
            </w:r>
          </w:p>
        </w:tc>
        <w:tc>
          <w:tcPr>
            <w:tcW w:w="3524" w:type="dxa"/>
          </w:tcPr>
          <w:p>
            <w:pPr>
              <w:pStyle w:val="7"/>
              <w:spacing w:before="36" w:line="223" w:lineRule="auto"/>
              <w:ind w:left="41"/>
              <w:rPr>
                <w:rFonts w:ascii="黑体" w:hAnsi="黑体" w:eastAsia="黑体" w:cs="黑体"/>
                <w:sz w:val="21"/>
                <w:szCs w:val="21"/>
                <w:lang w:eastAsia="zh-CN"/>
              </w:rPr>
            </w:pPr>
            <w:r>
              <w:rPr>
                <w:rFonts w:hint="eastAsia" w:ascii="黑体" w:hAnsi="黑体" w:eastAsia="黑体" w:cs="黑体"/>
                <w:b/>
                <w:bCs/>
                <w:spacing w:val="10"/>
                <w:sz w:val="21"/>
                <w:szCs w:val="21"/>
              </w:rPr>
              <w:t>检查项目</w:t>
            </w:r>
          </w:p>
        </w:tc>
        <w:tc>
          <w:tcPr>
            <w:tcW w:w="7818" w:type="dxa"/>
          </w:tcPr>
          <w:p>
            <w:pPr>
              <w:pStyle w:val="7"/>
              <w:spacing w:before="36" w:line="223" w:lineRule="auto"/>
              <w:ind w:left="75"/>
              <w:rPr>
                <w:rFonts w:ascii="黑体" w:hAnsi="黑体" w:eastAsia="黑体" w:cs="黑体"/>
                <w:sz w:val="21"/>
                <w:szCs w:val="21"/>
                <w:lang w:eastAsia="zh-CN"/>
              </w:rPr>
            </w:pPr>
            <w:r>
              <w:rPr>
                <w:rFonts w:hint="eastAsia" w:ascii="黑体" w:hAnsi="黑体" w:eastAsia="黑体" w:cs="黑体"/>
                <w:b/>
                <w:bCs/>
                <w:spacing w:val="4"/>
                <w:sz w:val="21"/>
                <w:szCs w:val="21"/>
              </w:rPr>
              <w:t>检查要点</w:t>
            </w:r>
          </w:p>
        </w:tc>
        <w:tc>
          <w:tcPr>
            <w:tcW w:w="2135" w:type="dxa"/>
          </w:tcPr>
          <w:p>
            <w:pPr>
              <w:pStyle w:val="7"/>
              <w:spacing w:before="36" w:line="223" w:lineRule="auto"/>
              <w:ind w:left="43"/>
              <w:rPr>
                <w:rFonts w:ascii="黑体" w:hAnsi="黑体" w:eastAsia="黑体" w:cs="黑体"/>
                <w:sz w:val="21"/>
                <w:szCs w:val="21"/>
                <w:lang w:eastAsia="zh-CN"/>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5" w:hRule="atLeast"/>
        </w:trPr>
        <w:tc>
          <w:tcPr>
            <w:tcW w:w="681" w:type="dxa"/>
          </w:tcPr>
          <w:p>
            <w:pPr>
              <w:pStyle w:val="7"/>
              <w:spacing w:before="45" w:line="216" w:lineRule="auto"/>
              <w:ind w:left="83"/>
              <w:jc w:val="both"/>
              <w:rPr>
                <w:rFonts w:ascii="仿宋" w:hAnsi="仿宋" w:eastAsia="仿宋"/>
                <w:spacing w:val="1"/>
                <w:sz w:val="21"/>
                <w:szCs w:val="21"/>
                <w:lang w:eastAsia="zh-CN"/>
              </w:rPr>
            </w:pPr>
          </w:p>
        </w:tc>
        <w:tc>
          <w:tcPr>
            <w:tcW w:w="3524" w:type="dxa"/>
          </w:tcPr>
          <w:p>
            <w:pPr>
              <w:pStyle w:val="7"/>
              <w:spacing w:before="45" w:line="216" w:lineRule="auto"/>
              <w:ind w:left="83"/>
              <w:jc w:val="both"/>
              <w:rPr>
                <w:rFonts w:ascii="仿宋" w:hAnsi="仿宋" w:eastAsia="仿宋"/>
                <w:spacing w:val="1"/>
                <w:sz w:val="21"/>
                <w:szCs w:val="21"/>
                <w:lang w:eastAsia="zh-CN"/>
              </w:rPr>
            </w:pPr>
          </w:p>
        </w:tc>
        <w:tc>
          <w:tcPr>
            <w:tcW w:w="7818"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(157)气瓶的存放应控制在最小需求量。</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(158)涉及有毒、可燃气体的场所，配有通风设施和相应的气体监测和报警装置等，张贴必要的安全警示标志。</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(159)可燃性气体与氧气等助燃气体气瓶不得混放。</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(160)独立的气体气瓶室应通风、不混放、有监控，有专人管理和记录。</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(161)有供应商提供的气瓶定期检验合格标识，无超过检验有效期的气瓶、无超过 设计年限的气瓶。</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(162)气瓶颜色符合GB/T7144《气瓶颜色标志》的规定，确认“满、使用中、空瓶 ”三种状态。</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(163)使用完毕，应及时关闭气瓶总阀。</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(164)气瓶附件齐全。</w:t>
            </w:r>
          </w:p>
        </w:tc>
        <w:tc>
          <w:tcPr>
            <w:tcW w:w="213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trPr>
        <w:tc>
          <w:tcPr>
            <w:tcW w:w="681"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9.6.3</w:t>
            </w:r>
          </w:p>
        </w:tc>
        <w:tc>
          <w:tcPr>
            <w:tcW w:w="3524"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在较小密封空间使用可引起窒息的气体，须安装氧含量监测报警装置</w:t>
            </w:r>
          </w:p>
        </w:tc>
        <w:tc>
          <w:tcPr>
            <w:tcW w:w="7818"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(165)在存有大量无毒窒息性压缩气体或液化气体(液氮、液氢)的较小密闭空间， 为防止气体大量泄漏或蒸发导致缺氧，须安装氧含量监测报警装置。如，实验室存 放1瓶常见规格40L公称体积，15MPa公称压力的窒息性气体气瓶，实验室层高2.8m 时的临界面积为28m²,层高2.6m时的临界面积为30m²;实验室存放10L体积液氮(液态密度0.808g·mL</w:t>
            </w:r>
            <w:r>
              <w:rPr>
                <w:rFonts w:hint="eastAsia" w:ascii="仿宋" w:hAnsi="仿宋" w:eastAsia="仿宋"/>
                <w:spacing w:val="1"/>
                <w:lang w:eastAsia="zh-CN"/>
              </w:rPr>
              <w:t>*</w:t>
            </w:r>
            <w:r>
              <w:rPr>
                <w:rFonts w:hint="eastAsia" w:ascii="仿宋" w:hAnsi="仿宋" w:eastAsia="仿宋"/>
                <w:spacing w:val="1"/>
                <w:sz w:val="21"/>
                <w:szCs w:val="21"/>
                <w:lang w:eastAsia="zh-CN"/>
              </w:rPr>
              <w:t>¹),实验室层高2.8m时的临界面积为30m²,层高2.6m 时的临界面积为35m²。</w:t>
            </w:r>
          </w:p>
        </w:tc>
        <w:tc>
          <w:tcPr>
            <w:tcW w:w="213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81"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9.6.4</w:t>
            </w:r>
          </w:p>
        </w:tc>
        <w:tc>
          <w:tcPr>
            <w:tcW w:w="3524"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气体管路和气瓶连接正确，有清晰的标识</w:t>
            </w:r>
          </w:p>
        </w:tc>
        <w:tc>
          <w:tcPr>
            <w:tcW w:w="7818"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(166)管路材质选择合适，无破损或老化现象，定期进行气密性检查；存在多条气 体管路的房间须张贴详细的管路图，管路标识正确。</w:t>
            </w:r>
          </w:p>
        </w:tc>
        <w:tc>
          <w:tcPr>
            <w:tcW w:w="213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81"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9.7</w:t>
            </w:r>
          </w:p>
        </w:tc>
        <w:tc>
          <w:tcPr>
            <w:tcW w:w="13477"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实验室化学废弃物的收集、分类和转运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681"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9,7.1</w:t>
            </w:r>
          </w:p>
        </w:tc>
        <w:tc>
          <w:tcPr>
            <w:tcW w:w="3524"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实验室应设立化学废弃物暂存区</w:t>
            </w:r>
          </w:p>
        </w:tc>
        <w:tc>
          <w:tcPr>
            <w:tcW w:w="7818"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(167)暂存区应远离火源、热源和不相容物质，避免日晒、雨淋，存放两种及以上 不相容的实验室危险废物时，应分不同区域。</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(168)暂存区应有警示标志并有防遗洒、防渗漏设施或措施。</w:t>
            </w:r>
          </w:p>
        </w:tc>
        <w:tc>
          <w:tcPr>
            <w:tcW w:w="213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trPr>
        <w:tc>
          <w:tcPr>
            <w:tcW w:w="681"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9.7.2</w:t>
            </w:r>
          </w:p>
        </w:tc>
        <w:tc>
          <w:tcPr>
            <w:tcW w:w="3524"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实验室内须规范收集化学废弃物</w:t>
            </w:r>
          </w:p>
        </w:tc>
        <w:tc>
          <w:tcPr>
            <w:tcW w:w="7818"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(169)危险废物应按化学特性和危险特性，进行分类收集和暂存。</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(170)废弃的化学试剂应存放在原试剂瓶中，保留原标签，且瓶口朝上放入专用固 废箱中。</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(171)针头等利器须放入利器盒中收集。</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(172)废液应分类装入专用废液桶中，液面不超过容量的3/4。废液桶须满足耐腐蚀、抗溶剂、耐挤压、抗冲击的要求。</w:t>
            </w:r>
          </w:p>
        </w:tc>
        <w:tc>
          <w:tcPr>
            <w:tcW w:w="2135" w:type="dxa"/>
          </w:tcPr>
          <w:p>
            <w:pPr>
              <w:pStyle w:val="7"/>
              <w:spacing w:before="45" w:line="216" w:lineRule="auto"/>
              <w:ind w:left="83"/>
              <w:jc w:val="both"/>
              <w:rPr>
                <w:rFonts w:ascii="仿宋" w:hAnsi="仿宋" w:eastAsia="仿宋"/>
                <w:spacing w:val="1"/>
                <w:sz w:val="21"/>
                <w:szCs w:val="21"/>
                <w:lang w:eastAsia="zh-CN"/>
              </w:rPr>
            </w:pPr>
          </w:p>
        </w:tc>
      </w:tr>
    </w:tbl>
    <w:p>
      <w:pPr>
        <w:pStyle w:val="7"/>
        <w:spacing w:before="45" w:line="216" w:lineRule="auto"/>
        <w:ind w:left="83"/>
        <w:jc w:val="both"/>
        <w:rPr>
          <w:rFonts w:ascii="仿宋" w:hAnsi="仿宋" w:eastAsia="仿宋"/>
          <w:spacing w:val="1"/>
          <w:sz w:val="21"/>
          <w:szCs w:val="21"/>
          <w:lang w:eastAsia="zh-CN"/>
        </w:rPr>
      </w:pPr>
    </w:p>
    <w:p>
      <w:pPr>
        <w:rPr>
          <w:lang w:eastAsia="zh-CN"/>
        </w:rPr>
        <w:sectPr>
          <w:footerReference r:id="rId13" w:type="default"/>
          <w:pgSz w:w="16841" w:h="11912"/>
          <w:pgMar w:top="1012" w:right="1941" w:bottom="1654" w:left="1848" w:header="0" w:footer="1520" w:gutter="0"/>
          <w:cols w:space="720" w:num="1"/>
        </w:sectPr>
      </w:pPr>
    </w:p>
    <w:tbl>
      <w:tblPr>
        <w:tblStyle w:val="6"/>
        <w:tblpPr w:leftFromText="180" w:rightFromText="180" w:vertAnchor="text" w:horzAnchor="page" w:tblpX="1305" w:tblpY="-48"/>
        <w:tblOverlap w:val="never"/>
        <w:tblW w:w="141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3522"/>
        <w:gridCol w:w="7830"/>
        <w:gridCol w:w="21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80" w:type="dxa"/>
          </w:tcPr>
          <w:p>
            <w:pPr>
              <w:pStyle w:val="7"/>
              <w:spacing w:before="36" w:line="223" w:lineRule="auto"/>
              <w:rPr>
                <w:rFonts w:ascii="黑体" w:hAnsi="黑体" w:eastAsia="黑体" w:cs="黑体"/>
                <w:sz w:val="21"/>
                <w:szCs w:val="21"/>
                <w:lang w:eastAsia="zh-CN"/>
              </w:rPr>
            </w:pPr>
            <w:r>
              <w:rPr>
                <w:rFonts w:hint="eastAsia" w:ascii="黑体" w:hAnsi="黑体" w:eastAsia="黑体" w:cs="黑体"/>
                <w:b/>
                <w:bCs/>
                <w:spacing w:val="3"/>
                <w:sz w:val="21"/>
                <w:szCs w:val="21"/>
              </w:rPr>
              <w:t>序号</w:t>
            </w:r>
          </w:p>
        </w:tc>
        <w:tc>
          <w:tcPr>
            <w:tcW w:w="3522" w:type="dxa"/>
          </w:tcPr>
          <w:p>
            <w:pPr>
              <w:pStyle w:val="7"/>
              <w:spacing w:before="36" w:line="223" w:lineRule="auto"/>
              <w:ind w:left="41"/>
              <w:rPr>
                <w:rFonts w:ascii="黑体" w:hAnsi="黑体" w:eastAsia="黑体" w:cs="黑体"/>
                <w:sz w:val="21"/>
                <w:szCs w:val="21"/>
                <w:lang w:eastAsia="zh-CN"/>
              </w:rPr>
            </w:pPr>
            <w:r>
              <w:rPr>
                <w:rFonts w:hint="eastAsia" w:ascii="黑体" w:hAnsi="黑体" w:eastAsia="黑体" w:cs="黑体"/>
                <w:b/>
                <w:bCs/>
                <w:spacing w:val="10"/>
                <w:sz w:val="21"/>
                <w:szCs w:val="21"/>
              </w:rPr>
              <w:t>检查项目</w:t>
            </w:r>
          </w:p>
        </w:tc>
        <w:tc>
          <w:tcPr>
            <w:tcW w:w="7830" w:type="dxa"/>
          </w:tcPr>
          <w:p>
            <w:pPr>
              <w:pStyle w:val="7"/>
              <w:spacing w:before="36" w:line="223" w:lineRule="auto"/>
              <w:ind w:left="75"/>
              <w:rPr>
                <w:rFonts w:ascii="黑体" w:hAnsi="黑体" w:eastAsia="黑体" w:cs="黑体"/>
                <w:sz w:val="21"/>
                <w:szCs w:val="21"/>
                <w:lang w:eastAsia="zh-CN"/>
              </w:rPr>
            </w:pPr>
            <w:r>
              <w:rPr>
                <w:rFonts w:hint="eastAsia" w:ascii="黑体" w:hAnsi="黑体" w:eastAsia="黑体" w:cs="黑体"/>
                <w:b/>
                <w:bCs/>
                <w:spacing w:val="4"/>
                <w:sz w:val="21"/>
                <w:szCs w:val="21"/>
              </w:rPr>
              <w:t>检查要点</w:t>
            </w:r>
          </w:p>
        </w:tc>
        <w:tc>
          <w:tcPr>
            <w:tcW w:w="2146" w:type="dxa"/>
          </w:tcPr>
          <w:p>
            <w:pPr>
              <w:pStyle w:val="7"/>
              <w:spacing w:before="36" w:line="223" w:lineRule="auto"/>
              <w:ind w:left="43"/>
              <w:rPr>
                <w:rFonts w:ascii="黑体" w:hAnsi="黑体" w:eastAsia="黑体" w:cs="黑体"/>
                <w:sz w:val="21"/>
                <w:szCs w:val="21"/>
                <w:lang w:eastAsia="zh-CN"/>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680" w:type="dxa"/>
          </w:tcPr>
          <w:p>
            <w:pPr>
              <w:pStyle w:val="7"/>
              <w:spacing w:before="45" w:line="216" w:lineRule="auto"/>
              <w:ind w:left="83"/>
              <w:jc w:val="both"/>
              <w:rPr>
                <w:rFonts w:ascii="仿宋" w:hAnsi="仿宋" w:eastAsia="仿宋"/>
                <w:spacing w:val="1"/>
                <w:sz w:val="21"/>
                <w:szCs w:val="21"/>
                <w:lang w:eastAsia="zh-CN"/>
              </w:rPr>
            </w:pPr>
          </w:p>
        </w:tc>
        <w:tc>
          <w:tcPr>
            <w:tcW w:w="3522" w:type="dxa"/>
          </w:tcPr>
          <w:p>
            <w:pPr>
              <w:pStyle w:val="7"/>
              <w:spacing w:before="45" w:line="216" w:lineRule="auto"/>
              <w:ind w:left="83"/>
              <w:jc w:val="both"/>
              <w:rPr>
                <w:rFonts w:ascii="仿宋" w:hAnsi="仿宋" w:eastAsia="仿宋"/>
                <w:spacing w:val="1"/>
                <w:sz w:val="21"/>
                <w:szCs w:val="21"/>
                <w:lang w:eastAsia="zh-CN"/>
              </w:rPr>
            </w:pPr>
          </w:p>
        </w:tc>
        <w:tc>
          <w:tcPr>
            <w:tcW w:w="783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(173)实验室危险废物收集容器上应粘贴危险废物信息标签、警示标识。</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(174)严禁将实验室危险废物直接排入下水道，严禁与生活垃圾、感染性废物或放 射性废物等混装。</w:t>
            </w:r>
          </w:p>
        </w:tc>
        <w:tc>
          <w:tcPr>
            <w:tcW w:w="2146"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1" w:hRule="atLeast"/>
        </w:trPr>
        <w:tc>
          <w:tcPr>
            <w:tcW w:w="680" w:type="dxa"/>
          </w:tcPr>
          <w:p>
            <w:pPr>
              <w:pStyle w:val="7"/>
              <w:spacing w:before="45" w:line="216" w:lineRule="auto"/>
              <w:jc w:val="both"/>
              <w:rPr>
                <w:rFonts w:ascii="仿宋" w:hAnsi="仿宋" w:eastAsia="仿宋"/>
                <w:spacing w:val="1"/>
                <w:sz w:val="21"/>
                <w:szCs w:val="21"/>
                <w:lang w:eastAsia="zh-CN"/>
              </w:rPr>
            </w:pPr>
          </w:p>
          <w:p>
            <w:pPr>
              <w:pStyle w:val="7"/>
              <w:spacing w:before="45" w:line="216" w:lineRule="auto"/>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9.7.3</w:t>
            </w:r>
          </w:p>
        </w:tc>
        <w:tc>
          <w:tcPr>
            <w:tcW w:w="3522" w:type="dxa"/>
          </w:tcPr>
          <w:p>
            <w:pPr>
              <w:pStyle w:val="7"/>
              <w:spacing w:before="45" w:line="216" w:lineRule="auto"/>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学校应建设化学废弃物贮存站并规范管理</w:t>
            </w:r>
          </w:p>
        </w:tc>
        <w:tc>
          <w:tcPr>
            <w:tcW w:w="783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(175)贮存设施、场所应当按照规定设置危险废物识别标志，存储装置符合GB/T 41962《实验室废弃物存储装置技术规范》的要求，易燃废弃物室外存储装置的单套内部面积应不大于30m²、高应不大于3m(尺寸误差应不大于10%),并在通风口处设置防火阀，公称动作温度为70℃。</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(176)贮存站应有具体的管理办法并将贮存站安全运行、实验室危险废物出站转运 等日常管理工作落实到相关人员的岗位职责中。</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(177)制定意外事故的防范措施和应急预案，并向所在地生态环境主管部门备案。</w:t>
            </w:r>
          </w:p>
        </w:tc>
        <w:tc>
          <w:tcPr>
            <w:tcW w:w="2146"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1" w:hRule="atLeast"/>
        </w:trPr>
        <w:tc>
          <w:tcPr>
            <w:tcW w:w="68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9,7.4</w:t>
            </w:r>
          </w:p>
        </w:tc>
        <w:tc>
          <w:tcPr>
            <w:tcW w:w="3522"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化学废弃物的转运须合规</w:t>
            </w:r>
          </w:p>
        </w:tc>
        <w:tc>
          <w:tcPr>
            <w:tcW w:w="783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(178)委托有危险废物处置资质的专业厂家集中处置化学废弃物，并查看协议。</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(179)建立危险废物管理台账，如实记录有关信息，包括种类、产生量、流向、贮 存、处置等有关资料。</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(180)校外转运之前，贮存站必须妥善管理实验室危险废物，采取有效措施，防止 废物的扬散、流失、渗漏或造成其他环境污染。</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(181)转运人员应使用专用运输工具，运输前根据运输废物的危险特性，应携带必 要的应急物资和个体防护用具，如收集工具，手套、口罩等。</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(182)实验室危险废物的校外转运必须按照国家有关规定填写危险废物电子或者纸 质转移联单，任何单位和个人未经许可不得非法转运。</w:t>
            </w:r>
          </w:p>
        </w:tc>
        <w:tc>
          <w:tcPr>
            <w:tcW w:w="2146"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680"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10</w:t>
            </w:r>
          </w:p>
        </w:tc>
        <w:tc>
          <w:tcPr>
            <w:tcW w:w="13498"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生物安全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680"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10.1</w:t>
            </w:r>
          </w:p>
        </w:tc>
        <w:tc>
          <w:tcPr>
            <w:tcW w:w="13498"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实验室生物安全等级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680" w:type="dxa"/>
          </w:tcPr>
          <w:p>
            <w:pPr>
              <w:pStyle w:val="7"/>
              <w:spacing w:before="45" w:line="216" w:lineRule="auto"/>
              <w:jc w:val="both"/>
              <w:rPr>
                <w:rFonts w:ascii="仿宋" w:hAnsi="仿宋" w:eastAsia="仿宋"/>
                <w:spacing w:val="1"/>
                <w:sz w:val="21"/>
                <w:szCs w:val="21"/>
                <w:lang w:eastAsia="zh-CN"/>
              </w:rPr>
            </w:pPr>
            <w:r>
              <w:rPr>
                <w:rFonts w:hint="eastAsia" w:ascii="仿宋" w:hAnsi="仿宋" w:eastAsia="仿宋"/>
                <w:spacing w:val="1"/>
                <w:sz w:val="21"/>
                <w:szCs w:val="21"/>
                <w:lang w:eastAsia="zh-CN"/>
              </w:rPr>
              <w:t>10.1.1</w:t>
            </w:r>
          </w:p>
        </w:tc>
        <w:tc>
          <w:tcPr>
            <w:tcW w:w="3522"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开展病原微生物实验研究的实验室，须具备相应的安全等级资质</w:t>
            </w:r>
          </w:p>
        </w:tc>
        <w:tc>
          <w:tcPr>
            <w:tcW w:w="783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(183)BSL-3/ABSL-3、BSL-4/ABSL-4实验室须经政府部门批准建设，BSL-I/ABSL-1、BSL-2/ABSL-2实验室由学校建设后报卫生或农业部门备案。</w:t>
            </w:r>
          </w:p>
        </w:tc>
        <w:tc>
          <w:tcPr>
            <w:tcW w:w="2146"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jc w:val="both"/>
              <w:rPr>
                <w:rFonts w:ascii="仿宋" w:hAnsi="仿宋" w:eastAsia="仿宋"/>
                <w:spacing w:val="1"/>
                <w:sz w:val="21"/>
                <w:szCs w:val="21"/>
                <w:lang w:eastAsia="zh-CN"/>
              </w:rPr>
            </w:pPr>
            <w:r>
              <w:rPr>
                <w:rFonts w:hint="eastAsia" w:ascii="仿宋" w:hAnsi="仿宋" w:eastAsia="仿宋"/>
                <w:spacing w:val="1"/>
                <w:sz w:val="21"/>
                <w:szCs w:val="21"/>
                <w:lang w:eastAsia="zh-CN"/>
              </w:rPr>
              <w:t>10.1.2</w:t>
            </w:r>
          </w:p>
        </w:tc>
        <w:tc>
          <w:tcPr>
            <w:tcW w:w="3522" w:type="dxa"/>
            <w:vAlign w:val="center"/>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在相应等级的实验室开展涉及致病性生物因子的实验活动</w:t>
            </w:r>
          </w:p>
        </w:tc>
        <w:tc>
          <w:tcPr>
            <w:tcW w:w="783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(184)以国家法律、法规、标准、规范，以及权威机构发布的指南、数据等为依据， 对涉及的致病性生物因子进行风险评估，选择对应的实验室安全级别进行致病性病 原微生物研究，重点关注：开展未经灭活的高致病性病原微生物(列入一类、二类) 相关实验和研究，必须在BSL-3/ABSL-3、BSL-4/ABSL-4实验室中进行；开展低致  病性病原微生物(列入三类、四类),或经灭活的高致病性感染性材料的相关实验和研究，必须在BSL-I/ABSL-1、BSL-2/ABSL-2或以上等级实验室中进行。</w:t>
            </w:r>
          </w:p>
        </w:tc>
        <w:tc>
          <w:tcPr>
            <w:tcW w:w="2146" w:type="dxa"/>
          </w:tcPr>
          <w:p>
            <w:pPr>
              <w:pStyle w:val="7"/>
              <w:spacing w:before="45" w:line="216" w:lineRule="auto"/>
              <w:ind w:left="83"/>
              <w:jc w:val="both"/>
              <w:rPr>
                <w:rFonts w:ascii="仿宋" w:hAnsi="仿宋" w:eastAsia="仿宋"/>
                <w:spacing w:val="1"/>
                <w:sz w:val="21"/>
                <w:szCs w:val="21"/>
                <w:lang w:eastAsia="zh-CN"/>
              </w:rPr>
            </w:pPr>
          </w:p>
        </w:tc>
      </w:tr>
    </w:tbl>
    <w:p>
      <w:pPr>
        <w:pStyle w:val="7"/>
        <w:spacing w:before="45" w:line="216" w:lineRule="auto"/>
        <w:jc w:val="both"/>
        <w:rPr>
          <w:rFonts w:ascii="仿宋" w:hAnsi="仿宋" w:eastAsia="仿宋"/>
          <w:spacing w:val="1"/>
          <w:sz w:val="21"/>
          <w:szCs w:val="21"/>
          <w:lang w:eastAsia="zh-CN"/>
        </w:rPr>
        <w:sectPr>
          <w:footerReference r:id="rId14" w:type="default"/>
          <w:pgSz w:w="16841" w:h="11912"/>
          <w:pgMar w:top="1012" w:right="1898" w:bottom="1515" w:left="1841" w:header="0" w:footer="1381" w:gutter="0"/>
          <w:cols w:space="720" w:num="1"/>
        </w:sectPr>
      </w:pPr>
    </w:p>
    <w:tbl>
      <w:tblPr>
        <w:tblStyle w:val="6"/>
        <w:tblpPr w:leftFromText="180" w:rightFromText="180" w:vertAnchor="text" w:horzAnchor="page" w:tblpX="1305" w:tblpY="156"/>
        <w:tblOverlap w:val="never"/>
        <w:tblW w:w="1419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440"/>
        <w:gridCol w:w="7825"/>
        <w:gridCol w:w="21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80" w:type="dxa"/>
          </w:tcPr>
          <w:p>
            <w:pPr>
              <w:pStyle w:val="7"/>
              <w:spacing w:before="36" w:line="223" w:lineRule="auto"/>
              <w:rPr>
                <w:rFonts w:ascii="仿宋" w:hAnsi="仿宋" w:eastAsia="仿宋"/>
                <w:spacing w:val="1"/>
                <w:sz w:val="21"/>
                <w:szCs w:val="21"/>
                <w:lang w:eastAsia="zh-CN"/>
              </w:rPr>
            </w:pPr>
            <w:r>
              <w:rPr>
                <w:rFonts w:hint="eastAsia" w:ascii="黑体" w:hAnsi="黑体" w:eastAsia="黑体" w:cs="黑体"/>
                <w:b/>
                <w:bCs/>
                <w:spacing w:val="3"/>
                <w:sz w:val="21"/>
                <w:szCs w:val="21"/>
              </w:rPr>
              <w:t>序号</w:t>
            </w:r>
          </w:p>
        </w:tc>
        <w:tc>
          <w:tcPr>
            <w:tcW w:w="3440" w:type="dxa"/>
          </w:tcPr>
          <w:p>
            <w:pPr>
              <w:pStyle w:val="7"/>
              <w:spacing w:before="36" w:line="223" w:lineRule="auto"/>
              <w:ind w:left="41"/>
              <w:rPr>
                <w:rFonts w:ascii="仿宋" w:hAnsi="仿宋" w:eastAsia="仿宋"/>
                <w:spacing w:val="1"/>
                <w:sz w:val="21"/>
                <w:szCs w:val="21"/>
                <w:lang w:eastAsia="zh-CN"/>
              </w:rPr>
            </w:pPr>
            <w:r>
              <w:rPr>
                <w:rFonts w:hint="eastAsia" w:ascii="黑体" w:hAnsi="黑体" w:eastAsia="黑体" w:cs="黑体"/>
                <w:b/>
                <w:bCs/>
                <w:spacing w:val="10"/>
                <w:sz w:val="21"/>
                <w:szCs w:val="21"/>
              </w:rPr>
              <w:t>检查项目</w:t>
            </w:r>
          </w:p>
        </w:tc>
        <w:tc>
          <w:tcPr>
            <w:tcW w:w="7825" w:type="dxa"/>
          </w:tcPr>
          <w:p>
            <w:pPr>
              <w:pStyle w:val="7"/>
              <w:spacing w:before="36" w:line="223" w:lineRule="auto"/>
              <w:ind w:left="75"/>
              <w:rPr>
                <w:rFonts w:ascii="仿宋" w:hAnsi="仿宋" w:eastAsia="仿宋"/>
                <w:spacing w:val="1"/>
                <w:sz w:val="21"/>
                <w:szCs w:val="21"/>
                <w:lang w:eastAsia="zh-CN"/>
              </w:rPr>
            </w:pPr>
            <w:r>
              <w:rPr>
                <w:rFonts w:hint="eastAsia" w:ascii="黑体" w:hAnsi="黑体" w:eastAsia="黑体" w:cs="黑体"/>
                <w:b/>
                <w:bCs/>
                <w:spacing w:val="4"/>
                <w:sz w:val="21"/>
                <w:szCs w:val="21"/>
              </w:rPr>
              <w:t>检查要点</w:t>
            </w:r>
          </w:p>
        </w:tc>
        <w:tc>
          <w:tcPr>
            <w:tcW w:w="2145" w:type="dxa"/>
          </w:tcPr>
          <w:p>
            <w:pPr>
              <w:pStyle w:val="7"/>
              <w:spacing w:before="36" w:line="223" w:lineRule="auto"/>
              <w:ind w:left="43"/>
              <w:rPr>
                <w:rFonts w:ascii="仿宋" w:hAnsi="仿宋" w:eastAsia="仿宋"/>
                <w:spacing w:val="1"/>
                <w:sz w:val="21"/>
                <w:szCs w:val="21"/>
                <w:lang w:eastAsia="zh-CN"/>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780"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10.2</w:t>
            </w:r>
          </w:p>
        </w:tc>
        <w:tc>
          <w:tcPr>
            <w:tcW w:w="13410"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场所与设施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10.2.1</w:t>
            </w:r>
          </w:p>
        </w:tc>
        <w:tc>
          <w:tcPr>
            <w:tcW w:w="344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实验室安全防范设施达到相应生物安全实验室要求，各区域分布合理、气压正常</w:t>
            </w:r>
          </w:p>
        </w:tc>
        <w:tc>
          <w:tcPr>
            <w:tcW w:w="782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(185)实验室须设门禁管理和准入制度，储存病原微生物的场所或储柜配备防盗设 施，BSL-3/ABSL-3及以上安全等级实验室须安装监控报警装置。</w:t>
            </w:r>
          </w:p>
        </w:tc>
        <w:tc>
          <w:tcPr>
            <w:tcW w:w="214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1" w:hRule="atLeast"/>
        </w:trPr>
        <w:tc>
          <w:tcPr>
            <w:tcW w:w="78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10.2.2</w:t>
            </w:r>
          </w:p>
        </w:tc>
        <w:tc>
          <w:tcPr>
            <w:tcW w:w="344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配有符合相应要求的生物安全设施</w:t>
            </w:r>
          </w:p>
        </w:tc>
        <w:tc>
          <w:tcPr>
            <w:tcW w:w="78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(186)BSL-2以上安全等级实验室须配有Ⅱ级生物安全柜，ABSL-2适用时配备，并定期进行检测， B型生物安全柜须有正常通风系统。</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(187)病原微生物实验室应有可靠和充足的电力供应，配备适用的消防器材、洗眼 装置和必要的应急喷淋。</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(188)已设传递窗的实验室要保证传递窗功能正常，内部不存放物品；室外排风口 应有防风、防雨、防鼠、防虫设计，但不影响气体向上空排放。相关实验室采取有 效措施防止昆虫、啮齿动物进入或逃逸，如安装防虫纱窗、挡鼠板等。</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(189)生物安全实验室配有压力蒸汽灭菌器，按规定要求监测灭菌效果。</w:t>
            </w:r>
          </w:p>
        </w:tc>
        <w:tc>
          <w:tcPr>
            <w:tcW w:w="214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78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10.2.3</w:t>
            </w:r>
          </w:p>
        </w:tc>
        <w:tc>
          <w:tcPr>
            <w:tcW w:w="344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场所消毒要保证人员安全</w:t>
            </w:r>
          </w:p>
        </w:tc>
        <w:tc>
          <w:tcPr>
            <w:tcW w:w="78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(190)使用紫外灯的生物安全实验室应设安全警示标志，尤其要对紫外灯开关张贴 警示标识。</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(191)使用紫外灯的生物安全实验室在消毒过程中禁止人员进入。采用紫外加臭氧 方式消毒应在消毒时间结束后有一定的排风时间， 臭氧消散后人员方可进入。</w:t>
            </w:r>
          </w:p>
        </w:tc>
        <w:tc>
          <w:tcPr>
            <w:tcW w:w="214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80"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10.3</w:t>
            </w:r>
          </w:p>
        </w:tc>
        <w:tc>
          <w:tcPr>
            <w:tcW w:w="13410"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病原微生物获取与保管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78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10.3.1</w:t>
            </w:r>
          </w:p>
        </w:tc>
        <w:tc>
          <w:tcPr>
            <w:tcW w:w="344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使用高致病性病原微生物菌(毒)种，须办理相应申请和报批手续</w:t>
            </w:r>
          </w:p>
        </w:tc>
        <w:tc>
          <w:tcPr>
            <w:tcW w:w="78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(192)从正规渠道获取病原微生物菌(毒)株，学校应有审批流程。</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(193)转移和运输高致病病原微生物须按规定报卫生和农业主管部门批准，并按相 应的运输包装要求包装后转移和运输。</w:t>
            </w:r>
          </w:p>
        </w:tc>
        <w:tc>
          <w:tcPr>
            <w:tcW w:w="214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8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10.3.2</w:t>
            </w:r>
          </w:p>
        </w:tc>
        <w:tc>
          <w:tcPr>
            <w:tcW w:w="344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高致病性病原微生物菌(毒)种应妥善保存和严格管理</w:t>
            </w:r>
          </w:p>
        </w:tc>
        <w:tc>
          <w:tcPr>
            <w:tcW w:w="78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(194)病原微生物菌(毒)种保存在带锁的冰箱或柜子中，高致病性病原微生物实行双人双锁管理。有病原微生物菌(毒)种保存、实验使用、销毁的记录。</w:t>
            </w:r>
          </w:p>
        </w:tc>
        <w:tc>
          <w:tcPr>
            <w:tcW w:w="214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80" w:type="dxa"/>
            <w:vAlign w:val="center"/>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10.4</w:t>
            </w:r>
          </w:p>
        </w:tc>
        <w:tc>
          <w:tcPr>
            <w:tcW w:w="13410" w:type="dxa"/>
            <w:gridSpan w:val="3"/>
            <w:vAlign w:val="center"/>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人员管理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8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10.4.1</w:t>
            </w:r>
          </w:p>
        </w:tc>
        <w:tc>
          <w:tcPr>
            <w:tcW w:w="344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开展病原微生物相关实验和研究的人员经过专业培训</w:t>
            </w:r>
          </w:p>
        </w:tc>
        <w:tc>
          <w:tcPr>
            <w:tcW w:w="782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(195)人员经考核合格，并取得证书。</w:t>
            </w:r>
          </w:p>
        </w:tc>
        <w:tc>
          <w:tcPr>
            <w:tcW w:w="214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8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10.4.2</w:t>
            </w:r>
          </w:p>
        </w:tc>
        <w:tc>
          <w:tcPr>
            <w:tcW w:w="344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为从事高致病性病原微生物的工作人员提供适宜的医学评估</w:t>
            </w:r>
          </w:p>
        </w:tc>
        <w:tc>
          <w:tcPr>
            <w:tcW w:w="78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(196)实施监测和治疗方案，并妥善保存相应的医学记录。有上岗前体检和离岗体 检，长期工作有定期体检。</w:t>
            </w:r>
          </w:p>
        </w:tc>
        <w:tc>
          <w:tcPr>
            <w:tcW w:w="214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8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10.4.3</w:t>
            </w:r>
          </w:p>
        </w:tc>
        <w:tc>
          <w:tcPr>
            <w:tcW w:w="344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制定相应的人员准入制度</w:t>
            </w:r>
          </w:p>
        </w:tc>
        <w:tc>
          <w:tcPr>
            <w:tcW w:w="78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(197)外来人员进入生物安全实验室须经负责人批准，并有相关的教育培训、安全 防控措施。出现感冒发热等症状时，不得进行病原微生物实验。</w:t>
            </w:r>
          </w:p>
        </w:tc>
        <w:tc>
          <w:tcPr>
            <w:tcW w:w="214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0"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10.5</w:t>
            </w:r>
          </w:p>
        </w:tc>
        <w:tc>
          <w:tcPr>
            <w:tcW w:w="13410"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操作与管理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8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10.5.1</w:t>
            </w:r>
          </w:p>
        </w:tc>
        <w:tc>
          <w:tcPr>
            <w:tcW w:w="344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制定并采用生物安全手册，有相关</w:t>
            </w:r>
          </w:p>
        </w:tc>
        <w:tc>
          <w:tcPr>
            <w:tcW w:w="78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(198)有从事病原微生物相关实验活动的标准操作规范。</w:t>
            </w:r>
          </w:p>
        </w:tc>
        <w:tc>
          <w:tcPr>
            <w:tcW w:w="2145" w:type="dxa"/>
          </w:tcPr>
          <w:p>
            <w:pPr>
              <w:pStyle w:val="7"/>
              <w:spacing w:before="45" w:line="216" w:lineRule="auto"/>
              <w:ind w:left="83"/>
              <w:jc w:val="both"/>
              <w:rPr>
                <w:rFonts w:ascii="仿宋" w:hAnsi="仿宋" w:eastAsia="仿宋"/>
                <w:spacing w:val="1"/>
                <w:sz w:val="21"/>
                <w:szCs w:val="21"/>
                <w:lang w:eastAsia="zh-CN"/>
              </w:rPr>
            </w:pPr>
          </w:p>
        </w:tc>
      </w:tr>
    </w:tbl>
    <w:p>
      <w:pPr>
        <w:pStyle w:val="7"/>
        <w:spacing w:before="45" w:line="216" w:lineRule="auto"/>
        <w:jc w:val="both"/>
        <w:rPr>
          <w:rFonts w:ascii="仿宋" w:hAnsi="仿宋" w:eastAsia="仿宋"/>
          <w:spacing w:val="1"/>
          <w:sz w:val="21"/>
          <w:szCs w:val="21"/>
          <w:lang w:eastAsia="zh-CN"/>
        </w:rPr>
        <w:sectPr>
          <w:footerReference r:id="rId15" w:type="default"/>
          <w:pgSz w:w="16841" w:h="11912"/>
          <w:pgMar w:top="1012" w:right="1930" w:bottom="1664" w:left="1841" w:header="0" w:footer="1530" w:gutter="0"/>
          <w:cols w:space="720" w:num="1"/>
        </w:sectPr>
      </w:pPr>
    </w:p>
    <w:p>
      <w:pPr>
        <w:pStyle w:val="7"/>
        <w:spacing w:before="45" w:line="216" w:lineRule="auto"/>
        <w:ind w:left="83"/>
        <w:jc w:val="both"/>
        <w:rPr>
          <w:rFonts w:ascii="仿宋" w:hAnsi="仿宋" w:eastAsia="仿宋"/>
          <w:spacing w:val="1"/>
          <w:sz w:val="21"/>
          <w:szCs w:val="21"/>
          <w:lang w:eastAsia="zh-CN"/>
        </w:rPr>
      </w:pPr>
    </w:p>
    <w:tbl>
      <w:tblPr>
        <w:tblStyle w:val="6"/>
        <w:tblpPr w:leftFromText="180" w:rightFromText="180" w:vertAnchor="text" w:horzAnchor="page" w:tblpX="1320" w:tblpY="-17"/>
        <w:tblOverlap w:val="never"/>
        <w:tblW w:w="141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480"/>
        <w:gridCol w:w="7785"/>
        <w:gridCol w:w="2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4" w:hRule="atLeast"/>
        </w:trPr>
        <w:tc>
          <w:tcPr>
            <w:tcW w:w="780" w:type="dxa"/>
          </w:tcPr>
          <w:p>
            <w:pPr>
              <w:pStyle w:val="7"/>
              <w:spacing w:before="36" w:line="223" w:lineRule="auto"/>
              <w:rPr>
                <w:rFonts w:ascii="黑体" w:hAnsi="黑体" w:eastAsia="黑体" w:cs="黑体"/>
                <w:sz w:val="21"/>
                <w:szCs w:val="21"/>
                <w:lang w:eastAsia="zh-CN"/>
              </w:rPr>
            </w:pPr>
            <w:r>
              <w:rPr>
                <w:rFonts w:hint="eastAsia" w:ascii="黑体" w:hAnsi="黑体" w:eastAsia="黑体" w:cs="黑体"/>
                <w:b/>
                <w:bCs/>
                <w:spacing w:val="3"/>
                <w:sz w:val="21"/>
                <w:szCs w:val="21"/>
              </w:rPr>
              <w:t>序号</w:t>
            </w:r>
          </w:p>
        </w:tc>
        <w:tc>
          <w:tcPr>
            <w:tcW w:w="3480" w:type="dxa"/>
          </w:tcPr>
          <w:p>
            <w:pPr>
              <w:pStyle w:val="7"/>
              <w:spacing w:before="36" w:line="223" w:lineRule="auto"/>
              <w:ind w:left="41"/>
              <w:rPr>
                <w:rFonts w:ascii="黑体" w:hAnsi="黑体" w:eastAsia="黑体" w:cs="黑体"/>
                <w:sz w:val="21"/>
                <w:szCs w:val="21"/>
                <w:lang w:eastAsia="zh-CN"/>
              </w:rPr>
            </w:pPr>
            <w:r>
              <w:rPr>
                <w:rFonts w:hint="eastAsia" w:ascii="黑体" w:hAnsi="黑体" w:eastAsia="黑体" w:cs="黑体"/>
                <w:b/>
                <w:bCs/>
                <w:spacing w:val="10"/>
                <w:sz w:val="21"/>
                <w:szCs w:val="21"/>
              </w:rPr>
              <w:t>检查项目</w:t>
            </w:r>
          </w:p>
        </w:tc>
        <w:tc>
          <w:tcPr>
            <w:tcW w:w="7785" w:type="dxa"/>
          </w:tcPr>
          <w:p>
            <w:pPr>
              <w:pStyle w:val="7"/>
              <w:spacing w:before="36" w:line="223" w:lineRule="auto"/>
              <w:ind w:left="75"/>
              <w:rPr>
                <w:rFonts w:ascii="黑体" w:hAnsi="黑体" w:eastAsia="黑体" w:cs="黑体"/>
                <w:sz w:val="21"/>
                <w:szCs w:val="21"/>
                <w:lang w:eastAsia="zh-CN"/>
              </w:rPr>
            </w:pPr>
            <w:r>
              <w:rPr>
                <w:rFonts w:hint="eastAsia" w:ascii="黑体" w:hAnsi="黑体" w:eastAsia="黑体" w:cs="黑体"/>
                <w:b/>
                <w:bCs/>
                <w:spacing w:val="4"/>
                <w:sz w:val="21"/>
                <w:szCs w:val="21"/>
              </w:rPr>
              <w:t>检查要点</w:t>
            </w:r>
          </w:p>
        </w:tc>
        <w:tc>
          <w:tcPr>
            <w:tcW w:w="2130" w:type="dxa"/>
          </w:tcPr>
          <w:p>
            <w:pPr>
              <w:pStyle w:val="7"/>
              <w:spacing w:before="36" w:line="223" w:lineRule="auto"/>
              <w:ind w:left="43"/>
              <w:rPr>
                <w:rFonts w:ascii="黑体" w:hAnsi="黑体" w:eastAsia="黑体" w:cs="黑体"/>
                <w:sz w:val="21"/>
                <w:szCs w:val="21"/>
                <w:lang w:eastAsia="zh-CN"/>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80" w:type="dxa"/>
          </w:tcPr>
          <w:p>
            <w:pPr>
              <w:pStyle w:val="7"/>
              <w:spacing w:before="45" w:line="216" w:lineRule="auto"/>
              <w:ind w:left="83"/>
              <w:jc w:val="both"/>
              <w:rPr>
                <w:rFonts w:ascii="仿宋" w:hAnsi="仿宋" w:eastAsia="仿宋"/>
                <w:spacing w:val="1"/>
                <w:sz w:val="21"/>
                <w:szCs w:val="21"/>
                <w:lang w:eastAsia="zh-CN"/>
              </w:rPr>
            </w:pPr>
          </w:p>
        </w:tc>
        <w:tc>
          <w:tcPr>
            <w:tcW w:w="348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标准操作规范</w:t>
            </w:r>
          </w:p>
        </w:tc>
        <w:tc>
          <w:tcPr>
            <w:tcW w:w="7785" w:type="dxa"/>
          </w:tcPr>
          <w:p>
            <w:pPr>
              <w:pStyle w:val="7"/>
              <w:spacing w:before="45" w:line="216" w:lineRule="auto"/>
              <w:ind w:left="83"/>
              <w:jc w:val="both"/>
              <w:rPr>
                <w:rFonts w:ascii="仿宋" w:hAnsi="仿宋" w:eastAsia="仿宋"/>
                <w:spacing w:val="1"/>
                <w:sz w:val="21"/>
                <w:szCs w:val="21"/>
                <w:lang w:eastAsia="zh-CN"/>
              </w:rPr>
            </w:pPr>
          </w:p>
        </w:tc>
        <w:tc>
          <w:tcPr>
            <w:tcW w:w="213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8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10.5.2</w:t>
            </w:r>
          </w:p>
        </w:tc>
        <w:tc>
          <w:tcPr>
            <w:tcW w:w="348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开展相关实验活动的风险评估和制定相应的应急预案</w:t>
            </w:r>
          </w:p>
        </w:tc>
        <w:tc>
          <w:tcPr>
            <w:tcW w:w="778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(199)开展病原微生物的相关实验活动应有风险评估和应急预案，包括病原微生物 及感染材料溢洒和意外事故的书面处置程序。</w:t>
            </w:r>
          </w:p>
        </w:tc>
        <w:tc>
          <w:tcPr>
            <w:tcW w:w="213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78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10.5.3</w:t>
            </w:r>
          </w:p>
        </w:tc>
        <w:tc>
          <w:tcPr>
            <w:tcW w:w="348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实验操作合规，安全防护措施合理</w:t>
            </w:r>
          </w:p>
        </w:tc>
        <w:tc>
          <w:tcPr>
            <w:tcW w:w="778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(200)在合适的生物安全柜中进行实验操作，不得在超净工作台中进行病原微生物 实验。</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(201)安全操作高速离心机，小心防止离心管破损或盖子破裂造成溢洒或气溶胶扩 散。</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(202)有合适的个体防护措施，禁止戴防护手套操作相关实验以外的设施设备。</w:t>
            </w:r>
          </w:p>
        </w:tc>
        <w:tc>
          <w:tcPr>
            <w:tcW w:w="213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80" w:type="dxa"/>
            <w:vAlign w:val="center"/>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10.6</w:t>
            </w:r>
          </w:p>
        </w:tc>
        <w:tc>
          <w:tcPr>
            <w:tcW w:w="13395" w:type="dxa"/>
            <w:gridSpan w:val="3"/>
            <w:vAlign w:val="center"/>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实验动物安全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78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10.6.1</w:t>
            </w:r>
          </w:p>
        </w:tc>
        <w:tc>
          <w:tcPr>
            <w:tcW w:w="348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实验动物的购买、饲养、解剖等须符合相关规定</w:t>
            </w:r>
          </w:p>
        </w:tc>
        <w:tc>
          <w:tcPr>
            <w:tcW w:w="778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(203)饲养实验动物的场所应有资质证书，实验动物须从具有资质的单位购买，有 合格证明，用于解剖的实验动物须经过检验检疫合格。</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(204)解剖实验动物时，必须做好个人安全防护。</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(205)定期组织健康检查。</w:t>
            </w:r>
          </w:p>
        </w:tc>
        <w:tc>
          <w:tcPr>
            <w:tcW w:w="213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8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10.6.2</w:t>
            </w:r>
          </w:p>
        </w:tc>
        <w:tc>
          <w:tcPr>
            <w:tcW w:w="348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动物实验按相关规定进行伦理审查，保障动物权益</w:t>
            </w:r>
          </w:p>
        </w:tc>
        <w:tc>
          <w:tcPr>
            <w:tcW w:w="778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(206)学校有伦理审查机构，查看伦理审查记录。</w:t>
            </w:r>
          </w:p>
        </w:tc>
        <w:tc>
          <w:tcPr>
            <w:tcW w:w="213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80" w:type="dxa"/>
            <w:vAlign w:val="center"/>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10.7</w:t>
            </w:r>
          </w:p>
        </w:tc>
        <w:tc>
          <w:tcPr>
            <w:tcW w:w="13395" w:type="dxa"/>
            <w:gridSpan w:val="3"/>
            <w:vAlign w:val="center"/>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生物实验废物处置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8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10.7.1</w:t>
            </w:r>
          </w:p>
        </w:tc>
        <w:tc>
          <w:tcPr>
            <w:tcW w:w="348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生物废弃物的中转和处置规范</w:t>
            </w:r>
          </w:p>
        </w:tc>
        <w:tc>
          <w:tcPr>
            <w:tcW w:w="778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(207)学校与有资质的单位签约处置感染性废物，有交接记录，形成电子或者纸质 台账。</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(208)学校有生物废弃物中转站或收集点，生物废物及时收集转运。</w:t>
            </w:r>
          </w:p>
        </w:tc>
        <w:tc>
          <w:tcPr>
            <w:tcW w:w="213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0" w:hRule="atLeast"/>
        </w:trPr>
        <w:tc>
          <w:tcPr>
            <w:tcW w:w="78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10.7.2</w:t>
            </w:r>
          </w:p>
        </w:tc>
        <w:tc>
          <w:tcPr>
            <w:tcW w:w="348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生物废弃物与其他类别废物分开，并且做好防护和消杀</w:t>
            </w:r>
          </w:p>
        </w:tc>
        <w:tc>
          <w:tcPr>
            <w:tcW w:w="778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(209)生物废物应与化学废物、生活垃圾等分开贮存。</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(210)实验室内配备生物废物垃圾桶(内置生物废物专用塑料袋),并粘贴专用标签标识。</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(211)刀片、移液枪头等尖锐物应使用利器盒或耐扎纸板箱盛放，送储时再装入生 物废物专用塑料袋，贴好标签。</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(212)动物实验结束后，动物尸体及组织应做无害化处理，废物彻底灭菌后方可处 置。</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(213)涉及病原微生物或其他细菌类的生物废物必须进行高温高压灭菌或化学浸泡 处理，然后由有资质的公司进行最终处置。</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(214)高致病性生物材料废物处置实现溯源追踪。</w:t>
            </w:r>
          </w:p>
        </w:tc>
        <w:tc>
          <w:tcPr>
            <w:tcW w:w="2130" w:type="dxa"/>
          </w:tcPr>
          <w:p>
            <w:pPr>
              <w:pStyle w:val="7"/>
              <w:spacing w:before="45" w:line="216" w:lineRule="auto"/>
              <w:ind w:left="83"/>
              <w:jc w:val="both"/>
              <w:rPr>
                <w:rFonts w:ascii="仿宋" w:hAnsi="仿宋" w:eastAsia="仿宋"/>
                <w:spacing w:val="1"/>
                <w:sz w:val="21"/>
                <w:szCs w:val="21"/>
                <w:lang w:eastAsia="zh-CN"/>
              </w:rPr>
            </w:pPr>
          </w:p>
        </w:tc>
      </w:tr>
    </w:tbl>
    <w:p>
      <w:pPr>
        <w:pStyle w:val="7"/>
        <w:spacing w:before="45" w:line="216" w:lineRule="auto"/>
        <w:jc w:val="both"/>
        <w:rPr>
          <w:rFonts w:ascii="仿宋" w:hAnsi="仿宋" w:eastAsia="仿宋"/>
          <w:spacing w:val="1"/>
          <w:sz w:val="21"/>
          <w:szCs w:val="21"/>
          <w:lang w:eastAsia="zh-CN"/>
        </w:rPr>
        <w:sectPr>
          <w:footerReference r:id="rId16" w:type="default"/>
          <w:pgSz w:w="16841" w:h="11912"/>
          <w:pgMar w:top="1012" w:right="1949" w:bottom="1720" w:left="1841" w:header="0" w:footer="1595" w:gutter="0"/>
          <w:cols w:space="720" w:num="1"/>
        </w:sectPr>
      </w:pPr>
    </w:p>
    <w:tbl>
      <w:tblPr>
        <w:tblStyle w:val="6"/>
        <w:tblpPr w:leftFromText="180" w:rightFromText="180" w:vertAnchor="text" w:horzAnchor="page" w:tblpX="1320" w:tblpY="164"/>
        <w:tblOverlap w:val="never"/>
        <w:tblW w:w="140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3422"/>
        <w:gridCol w:w="7721"/>
        <w:gridCol w:w="21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1" w:hRule="atLeast"/>
        </w:trPr>
        <w:tc>
          <w:tcPr>
            <w:tcW w:w="803" w:type="dxa"/>
          </w:tcPr>
          <w:p>
            <w:pPr>
              <w:pStyle w:val="7"/>
              <w:spacing w:before="36" w:line="223" w:lineRule="auto"/>
              <w:rPr>
                <w:rFonts w:ascii="黑体" w:hAnsi="黑体" w:eastAsia="黑体" w:cs="黑体"/>
                <w:sz w:val="21"/>
                <w:szCs w:val="21"/>
                <w:lang w:eastAsia="zh-CN"/>
              </w:rPr>
            </w:pPr>
            <w:r>
              <w:rPr>
                <w:rFonts w:hint="eastAsia" w:ascii="黑体" w:hAnsi="黑体" w:eastAsia="黑体" w:cs="黑体"/>
                <w:b/>
                <w:bCs/>
                <w:spacing w:val="3"/>
                <w:sz w:val="21"/>
                <w:szCs w:val="21"/>
              </w:rPr>
              <w:t>序号</w:t>
            </w:r>
          </w:p>
        </w:tc>
        <w:tc>
          <w:tcPr>
            <w:tcW w:w="3422" w:type="dxa"/>
          </w:tcPr>
          <w:p>
            <w:pPr>
              <w:pStyle w:val="7"/>
              <w:spacing w:before="36" w:line="223" w:lineRule="auto"/>
              <w:ind w:left="41"/>
              <w:rPr>
                <w:rFonts w:ascii="黑体" w:hAnsi="黑体" w:eastAsia="黑体" w:cs="黑体"/>
                <w:sz w:val="21"/>
                <w:szCs w:val="21"/>
                <w:lang w:eastAsia="zh-CN"/>
              </w:rPr>
            </w:pPr>
            <w:r>
              <w:rPr>
                <w:rFonts w:hint="eastAsia" w:ascii="黑体" w:hAnsi="黑体" w:eastAsia="黑体" w:cs="黑体"/>
                <w:b/>
                <w:bCs/>
                <w:spacing w:val="10"/>
                <w:sz w:val="21"/>
                <w:szCs w:val="21"/>
              </w:rPr>
              <w:t>检查项目</w:t>
            </w:r>
          </w:p>
        </w:tc>
        <w:tc>
          <w:tcPr>
            <w:tcW w:w="7721" w:type="dxa"/>
          </w:tcPr>
          <w:p>
            <w:pPr>
              <w:pStyle w:val="7"/>
              <w:spacing w:before="36" w:line="223" w:lineRule="auto"/>
              <w:ind w:left="75"/>
              <w:rPr>
                <w:rFonts w:ascii="黑体" w:hAnsi="黑体" w:eastAsia="黑体" w:cs="黑体"/>
                <w:sz w:val="21"/>
                <w:szCs w:val="21"/>
                <w:lang w:eastAsia="zh-CN"/>
              </w:rPr>
            </w:pPr>
            <w:r>
              <w:rPr>
                <w:rFonts w:hint="eastAsia" w:ascii="黑体" w:hAnsi="黑体" w:eastAsia="黑体" w:cs="黑体"/>
                <w:b/>
                <w:bCs/>
                <w:spacing w:val="4"/>
                <w:sz w:val="21"/>
                <w:szCs w:val="21"/>
              </w:rPr>
              <w:t>检查要点</w:t>
            </w:r>
          </w:p>
        </w:tc>
        <w:tc>
          <w:tcPr>
            <w:tcW w:w="2112" w:type="dxa"/>
          </w:tcPr>
          <w:p>
            <w:pPr>
              <w:pStyle w:val="7"/>
              <w:spacing w:before="36" w:line="223" w:lineRule="auto"/>
              <w:ind w:left="43"/>
              <w:rPr>
                <w:rFonts w:ascii="黑体" w:hAnsi="黑体" w:eastAsia="黑体" w:cs="黑体"/>
                <w:sz w:val="21"/>
                <w:szCs w:val="21"/>
                <w:lang w:eastAsia="zh-CN"/>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803"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11</w:t>
            </w:r>
          </w:p>
        </w:tc>
        <w:tc>
          <w:tcPr>
            <w:tcW w:w="13255"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辐射安全与核材料管制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2" w:hRule="atLeast"/>
        </w:trPr>
        <w:tc>
          <w:tcPr>
            <w:tcW w:w="803"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11.1</w:t>
            </w:r>
          </w:p>
        </w:tc>
        <w:tc>
          <w:tcPr>
            <w:tcW w:w="13255"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资质与人员要求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3" w:hRule="atLeast"/>
        </w:trPr>
        <w:tc>
          <w:tcPr>
            <w:tcW w:w="803"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11.1.1</w:t>
            </w:r>
          </w:p>
        </w:tc>
        <w:tc>
          <w:tcPr>
            <w:tcW w:w="3422"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辐射工作单位须取得辐射安全许可证</w:t>
            </w:r>
          </w:p>
        </w:tc>
        <w:tc>
          <w:tcPr>
            <w:tcW w:w="7721"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(215)按规定在放射性核素种类和用量及射线种类许可范围内开展实验。除已被豁 免管理外，射线装置、放射源或者非密封放射性物质应纳入许可证范畴。</w:t>
            </w:r>
          </w:p>
        </w:tc>
        <w:tc>
          <w:tcPr>
            <w:tcW w:w="2112"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98" w:hRule="atLeast"/>
        </w:trPr>
        <w:tc>
          <w:tcPr>
            <w:tcW w:w="803"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11.1.2</w:t>
            </w:r>
          </w:p>
        </w:tc>
        <w:tc>
          <w:tcPr>
            <w:tcW w:w="3422" w:type="dxa"/>
            <w:vAlign w:val="center"/>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辐射工作人员须经过专门培训，定期参加职业体检</w:t>
            </w:r>
          </w:p>
        </w:tc>
        <w:tc>
          <w:tcPr>
            <w:tcW w:w="7721"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(216)辐射工作人员具有辐射安全与防护培训合格证书，或者生态环境部辐射安全 与防护考核通过成绩报告单。</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(217)辐射工作人员按时参加放射性职业体检(2年1次),有健康档案。</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(218)辐射工作人员进入实验场所须佩戴个人剂量计，剂量计委托有资质的单位按 时进行剂量监测(3个月1次)。</w:t>
            </w:r>
          </w:p>
        </w:tc>
        <w:tc>
          <w:tcPr>
            <w:tcW w:w="2112"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73" w:hRule="atLeast"/>
        </w:trPr>
        <w:tc>
          <w:tcPr>
            <w:tcW w:w="803"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11.1.3</w:t>
            </w:r>
          </w:p>
        </w:tc>
        <w:tc>
          <w:tcPr>
            <w:tcW w:w="3422"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核材料许可证持有单位须建立专职机构或指定专人负责保管核材料，执行国家法律法规要求。有帐目与报告制度，保证帐物相符</w:t>
            </w:r>
          </w:p>
        </w:tc>
        <w:tc>
          <w:tcPr>
            <w:tcW w:w="7721"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(219)持有核材料数量达到法定要求的单位须取得核材料许可证，有负责机构或指 定专人负责核材料管制工作，核材料衡算和核安保工作执行国家法律法规要求。</w:t>
            </w:r>
          </w:p>
        </w:tc>
        <w:tc>
          <w:tcPr>
            <w:tcW w:w="2112"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803"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11.2</w:t>
            </w:r>
          </w:p>
        </w:tc>
        <w:tc>
          <w:tcPr>
            <w:tcW w:w="13255"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场所设施与采购运输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0" w:hRule="atLeast"/>
        </w:trPr>
        <w:tc>
          <w:tcPr>
            <w:tcW w:w="803"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11.2.1</w:t>
            </w:r>
          </w:p>
        </w:tc>
        <w:tc>
          <w:tcPr>
            <w:tcW w:w="3422"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辐射设施和场所应设有警示、联锁和报警装置</w:t>
            </w:r>
          </w:p>
        </w:tc>
        <w:tc>
          <w:tcPr>
            <w:tcW w:w="7721"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(220)放射源储存库应设双人双锁，并有安全报警系统和视频监控系统。</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(221)辐照设施设备和射线装置具有能正常工作的安全联锁装置和报警装置，有明 显的安全警示标识、警戒线和剂量报警仪。</w:t>
            </w:r>
          </w:p>
        </w:tc>
        <w:tc>
          <w:tcPr>
            <w:tcW w:w="2112"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3" w:hRule="atLeast"/>
        </w:trPr>
        <w:tc>
          <w:tcPr>
            <w:tcW w:w="803"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11.2.2</w:t>
            </w:r>
          </w:p>
        </w:tc>
        <w:tc>
          <w:tcPr>
            <w:tcW w:w="3422"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辐射实验场所每年有合格的实验场所检测报告</w:t>
            </w:r>
          </w:p>
        </w:tc>
        <w:tc>
          <w:tcPr>
            <w:tcW w:w="7721"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(222)查看场所辐射环境监测报告。</w:t>
            </w:r>
          </w:p>
        </w:tc>
        <w:tc>
          <w:tcPr>
            <w:tcW w:w="2112"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47" w:hRule="atLeast"/>
        </w:trPr>
        <w:tc>
          <w:tcPr>
            <w:tcW w:w="803"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11.2.3</w:t>
            </w:r>
          </w:p>
        </w:tc>
        <w:tc>
          <w:tcPr>
            <w:tcW w:w="3422"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放射性物质的转让，转移和运输应按规定报批</w:t>
            </w:r>
          </w:p>
        </w:tc>
        <w:tc>
          <w:tcPr>
            <w:tcW w:w="7721"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(223)放射源和放射性物质转让、转移有学校及生态环境部门的审批备案材料，转 让、转移前必须先做环境影响评价工作。</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(224)放射性物质的转移和运输有学校及公安部门的审批备案材料。</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(225)放射性物质及射线装置储存和使用场所变更应重新开展环境影响评价。</w:t>
            </w:r>
          </w:p>
        </w:tc>
        <w:tc>
          <w:tcPr>
            <w:tcW w:w="2112"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2" w:hRule="atLeast"/>
        </w:trPr>
        <w:tc>
          <w:tcPr>
            <w:tcW w:w="803"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11.3</w:t>
            </w:r>
          </w:p>
        </w:tc>
        <w:tc>
          <w:tcPr>
            <w:tcW w:w="13255"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放射性实验安全及废物处置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803"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11.3.1</w:t>
            </w:r>
          </w:p>
        </w:tc>
        <w:tc>
          <w:tcPr>
            <w:tcW w:w="3422"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各类放射性装置有符合国家相关规定的操作规程、安保方案及应急预案，并遵照执行</w:t>
            </w:r>
          </w:p>
        </w:tc>
        <w:tc>
          <w:tcPr>
            <w:tcW w:w="7721"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(226)重点关注y辐照、电子加速器、射线探伤仪、非密封放射性实验操作、V类以上的密封性放射性实验操作。</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(227)查看辐射事故应急预案及应急演练记录(每年不少于1次演练)。</w:t>
            </w:r>
          </w:p>
        </w:tc>
        <w:tc>
          <w:tcPr>
            <w:tcW w:w="2112"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5" w:hRule="atLeast"/>
        </w:trPr>
        <w:tc>
          <w:tcPr>
            <w:tcW w:w="803"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11.3.2</w:t>
            </w:r>
          </w:p>
        </w:tc>
        <w:tc>
          <w:tcPr>
            <w:tcW w:w="3422"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放射源及设备报废时有符合国家相关规定的处置方案或回收协议</w:t>
            </w:r>
          </w:p>
        </w:tc>
        <w:tc>
          <w:tcPr>
            <w:tcW w:w="7721"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(228)中、长半衰期核素固液废物有符合国家相关规定的处置方案或回收协议，短 半衰期核素固液废弃物放置10个半衰期经检测达标并经审管部门的批准可以作为普通废物处理，并有处置记录。</w:t>
            </w:r>
          </w:p>
        </w:tc>
        <w:tc>
          <w:tcPr>
            <w:tcW w:w="2112" w:type="dxa"/>
          </w:tcPr>
          <w:p>
            <w:pPr>
              <w:pStyle w:val="7"/>
              <w:spacing w:before="45" w:line="216" w:lineRule="auto"/>
              <w:ind w:left="83"/>
              <w:jc w:val="both"/>
              <w:rPr>
                <w:rFonts w:ascii="仿宋" w:hAnsi="仿宋" w:eastAsia="仿宋"/>
                <w:spacing w:val="1"/>
                <w:sz w:val="21"/>
                <w:szCs w:val="21"/>
                <w:lang w:eastAsia="zh-CN"/>
              </w:rPr>
            </w:pPr>
          </w:p>
        </w:tc>
      </w:tr>
    </w:tbl>
    <w:p>
      <w:pPr>
        <w:pStyle w:val="7"/>
        <w:spacing w:before="45" w:line="216" w:lineRule="auto"/>
        <w:jc w:val="both"/>
        <w:rPr>
          <w:rFonts w:ascii="仿宋" w:hAnsi="仿宋" w:eastAsia="仿宋"/>
          <w:spacing w:val="1"/>
          <w:sz w:val="21"/>
          <w:szCs w:val="21"/>
          <w:lang w:eastAsia="zh-CN"/>
        </w:rPr>
        <w:sectPr>
          <w:footerReference r:id="rId17" w:type="default"/>
          <w:pgSz w:w="16841" w:h="11912"/>
          <w:pgMar w:top="1012" w:right="1930" w:bottom="1691" w:left="1829" w:header="0" w:footer="1566" w:gutter="0"/>
          <w:cols w:space="720" w:num="1"/>
        </w:sectPr>
      </w:pPr>
    </w:p>
    <w:tbl>
      <w:tblPr>
        <w:tblStyle w:val="6"/>
        <w:tblpPr w:leftFromText="180" w:rightFromText="180" w:vertAnchor="text" w:horzAnchor="page" w:tblpX="1335" w:tblpY="39"/>
        <w:tblOverlap w:val="never"/>
        <w:tblW w:w="140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3452"/>
        <w:gridCol w:w="7746"/>
        <w:gridCol w:w="21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92" w:type="dxa"/>
          </w:tcPr>
          <w:p>
            <w:pPr>
              <w:pStyle w:val="7"/>
              <w:spacing w:before="36" w:line="223" w:lineRule="auto"/>
              <w:rPr>
                <w:rFonts w:ascii="黑体" w:hAnsi="黑体" w:eastAsia="黑体" w:cs="黑体"/>
                <w:sz w:val="21"/>
                <w:szCs w:val="21"/>
                <w:lang w:eastAsia="zh-CN"/>
              </w:rPr>
            </w:pPr>
            <w:r>
              <w:rPr>
                <w:rFonts w:hint="eastAsia" w:ascii="黑体" w:hAnsi="黑体" w:eastAsia="黑体" w:cs="黑体"/>
                <w:b/>
                <w:bCs/>
                <w:spacing w:val="3"/>
                <w:sz w:val="21"/>
                <w:szCs w:val="21"/>
              </w:rPr>
              <w:t>序号</w:t>
            </w:r>
          </w:p>
        </w:tc>
        <w:tc>
          <w:tcPr>
            <w:tcW w:w="3452" w:type="dxa"/>
          </w:tcPr>
          <w:p>
            <w:pPr>
              <w:pStyle w:val="7"/>
              <w:spacing w:before="36" w:line="223" w:lineRule="auto"/>
              <w:ind w:left="41"/>
              <w:rPr>
                <w:rFonts w:ascii="黑体" w:hAnsi="黑体" w:eastAsia="黑体" w:cs="黑体"/>
                <w:sz w:val="21"/>
                <w:szCs w:val="21"/>
                <w:lang w:eastAsia="zh-CN"/>
              </w:rPr>
            </w:pPr>
            <w:r>
              <w:rPr>
                <w:rFonts w:hint="eastAsia" w:ascii="黑体" w:hAnsi="黑体" w:eastAsia="黑体" w:cs="黑体"/>
                <w:b/>
                <w:bCs/>
                <w:spacing w:val="10"/>
                <w:sz w:val="21"/>
                <w:szCs w:val="21"/>
              </w:rPr>
              <w:t>检查项目</w:t>
            </w:r>
          </w:p>
        </w:tc>
        <w:tc>
          <w:tcPr>
            <w:tcW w:w="7746" w:type="dxa"/>
          </w:tcPr>
          <w:p>
            <w:pPr>
              <w:pStyle w:val="7"/>
              <w:spacing w:before="36" w:line="223" w:lineRule="auto"/>
              <w:ind w:left="75"/>
              <w:rPr>
                <w:rFonts w:ascii="黑体" w:hAnsi="黑体" w:eastAsia="黑体" w:cs="黑体"/>
                <w:sz w:val="21"/>
                <w:szCs w:val="21"/>
                <w:lang w:eastAsia="zh-CN"/>
              </w:rPr>
            </w:pPr>
            <w:r>
              <w:rPr>
                <w:rFonts w:hint="eastAsia" w:ascii="黑体" w:hAnsi="黑体" w:eastAsia="黑体" w:cs="黑体"/>
                <w:b/>
                <w:bCs/>
                <w:spacing w:val="4"/>
                <w:sz w:val="21"/>
                <w:szCs w:val="21"/>
              </w:rPr>
              <w:t>检查要点</w:t>
            </w:r>
          </w:p>
        </w:tc>
        <w:tc>
          <w:tcPr>
            <w:tcW w:w="2108" w:type="dxa"/>
          </w:tcPr>
          <w:p>
            <w:pPr>
              <w:pStyle w:val="7"/>
              <w:spacing w:before="36" w:line="223" w:lineRule="auto"/>
              <w:ind w:left="43"/>
              <w:rPr>
                <w:rFonts w:ascii="黑体" w:hAnsi="黑体" w:eastAsia="黑体" w:cs="黑体"/>
                <w:sz w:val="21"/>
                <w:szCs w:val="21"/>
                <w:lang w:eastAsia="zh-CN"/>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92" w:type="dxa"/>
          </w:tcPr>
          <w:p>
            <w:pPr>
              <w:pStyle w:val="7"/>
              <w:spacing w:before="45" w:line="216" w:lineRule="auto"/>
              <w:ind w:left="83"/>
              <w:jc w:val="both"/>
              <w:rPr>
                <w:rFonts w:ascii="仿宋" w:hAnsi="仿宋" w:eastAsia="仿宋"/>
                <w:spacing w:val="1"/>
                <w:sz w:val="21"/>
                <w:szCs w:val="21"/>
                <w:lang w:eastAsia="zh-CN"/>
              </w:rPr>
            </w:pPr>
          </w:p>
        </w:tc>
        <w:tc>
          <w:tcPr>
            <w:tcW w:w="3452" w:type="dxa"/>
          </w:tcPr>
          <w:p>
            <w:pPr>
              <w:pStyle w:val="7"/>
              <w:spacing w:before="45" w:line="216" w:lineRule="auto"/>
              <w:ind w:left="83"/>
              <w:jc w:val="both"/>
              <w:rPr>
                <w:rFonts w:ascii="仿宋" w:hAnsi="仿宋" w:eastAsia="仿宋"/>
                <w:spacing w:val="1"/>
                <w:sz w:val="21"/>
                <w:szCs w:val="21"/>
                <w:lang w:eastAsia="zh-CN"/>
              </w:rPr>
            </w:pPr>
          </w:p>
        </w:tc>
        <w:tc>
          <w:tcPr>
            <w:tcW w:w="7746"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(229)报废含有放射源或可产生放射性的设备，须报学校管理部门同意，并按国家 规定进行退役处置。X光管报废时应破坏高压设备，拍照留存。</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(230)涉源实验场所退役，须按国家相关规定执行。</w:t>
            </w:r>
          </w:p>
        </w:tc>
        <w:tc>
          <w:tcPr>
            <w:tcW w:w="2108"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rPr>
        <w:tc>
          <w:tcPr>
            <w:tcW w:w="792"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11.3.3</w:t>
            </w:r>
          </w:p>
        </w:tc>
        <w:tc>
          <w:tcPr>
            <w:tcW w:w="3452" w:type="dxa"/>
            <w:vAlign w:val="center"/>
          </w:tcPr>
          <w:p>
            <w:pPr>
              <w:pStyle w:val="7"/>
              <w:spacing w:before="45" w:line="216" w:lineRule="auto"/>
              <w:jc w:val="both"/>
              <w:rPr>
                <w:rFonts w:ascii="仿宋" w:hAnsi="仿宋" w:eastAsia="仿宋"/>
                <w:spacing w:val="1"/>
                <w:sz w:val="21"/>
                <w:szCs w:val="21"/>
                <w:lang w:eastAsia="zh-CN"/>
              </w:rPr>
            </w:pPr>
            <w:r>
              <w:rPr>
                <w:rFonts w:hint="eastAsia" w:ascii="仿宋" w:hAnsi="仿宋" w:eastAsia="仿宋"/>
                <w:spacing w:val="1"/>
                <w:sz w:val="21"/>
                <w:szCs w:val="21"/>
                <w:lang w:eastAsia="zh-CN"/>
              </w:rPr>
              <w:t>放射性废物(源)应严加管理，不得作为普通废物处理，不得擅自处置</w:t>
            </w:r>
          </w:p>
        </w:tc>
        <w:tc>
          <w:tcPr>
            <w:tcW w:w="7746"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(231)相关实验室应当配置专门的放射性废物收集桶，放射性废液送贮前应进行固 化整备。</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(232)放射性废物应及时送交有资质的放射性废物集中贮存单位贮存。</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(233)排放气态或液态放射性流出物应严格按照环评和地方生态环境部门批准的排 放量和排放方式执行。</w:t>
            </w:r>
          </w:p>
        </w:tc>
        <w:tc>
          <w:tcPr>
            <w:tcW w:w="2108"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792"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12</w:t>
            </w:r>
          </w:p>
        </w:tc>
        <w:tc>
          <w:tcPr>
            <w:tcW w:w="13306"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机电等安全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792"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12.1</w:t>
            </w:r>
          </w:p>
        </w:tc>
        <w:tc>
          <w:tcPr>
            <w:tcW w:w="13306"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仪器设备常规管理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2"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12.1.1</w:t>
            </w:r>
          </w:p>
        </w:tc>
        <w:tc>
          <w:tcPr>
            <w:tcW w:w="3452"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建立设备台账，设备上有资产标签，有明确的管理人员</w:t>
            </w:r>
          </w:p>
        </w:tc>
        <w:tc>
          <w:tcPr>
            <w:tcW w:w="7746"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(234)查看电子或纸质台账。</w:t>
            </w:r>
          </w:p>
        </w:tc>
        <w:tc>
          <w:tcPr>
            <w:tcW w:w="2108"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92"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12.1.2</w:t>
            </w:r>
          </w:p>
        </w:tc>
        <w:tc>
          <w:tcPr>
            <w:tcW w:w="3452"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大型、特种设备的使用须符合相关规定</w:t>
            </w:r>
          </w:p>
        </w:tc>
        <w:tc>
          <w:tcPr>
            <w:tcW w:w="7746"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(235)大型仪器设备、高功率的设备与电路容量相匹配，有设备运行维护记录，有 安全操作规程或注意事项。</w:t>
            </w:r>
          </w:p>
        </w:tc>
        <w:tc>
          <w:tcPr>
            <w:tcW w:w="2108"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792"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12.1.3</w:t>
            </w:r>
          </w:p>
        </w:tc>
        <w:tc>
          <w:tcPr>
            <w:tcW w:w="3452" w:type="dxa"/>
            <w:vAlign w:val="center"/>
          </w:tcPr>
          <w:p>
            <w:pPr>
              <w:pStyle w:val="7"/>
              <w:spacing w:before="45" w:line="216" w:lineRule="auto"/>
              <w:jc w:val="both"/>
              <w:rPr>
                <w:rFonts w:ascii="仿宋" w:hAnsi="仿宋" w:eastAsia="仿宋"/>
                <w:spacing w:val="1"/>
                <w:sz w:val="21"/>
                <w:szCs w:val="21"/>
                <w:lang w:eastAsia="zh-CN"/>
              </w:rPr>
            </w:pPr>
            <w:r>
              <w:rPr>
                <w:rFonts w:hint="eastAsia" w:ascii="仿宋" w:hAnsi="仿宋" w:eastAsia="仿宋"/>
                <w:spacing w:val="1"/>
                <w:sz w:val="21"/>
                <w:szCs w:val="21"/>
                <w:lang w:eastAsia="zh-CN"/>
              </w:rPr>
              <w:t>仪器设备的接地和用电符合相关要求</w:t>
            </w:r>
          </w:p>
        </w:tc>
        <w:tc>
          <w:tcPr>
            <w:tcW w:w="7746"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(236)仪器设备接地系统应按规范要求，采用铜质材料，接地电阻不高于0.5Q。  (237)电脑、空调、电加热器等不随意开机过夜。对于不能断电的特殊仪器设备， 采取必要的防护措施(如双路供电、不间断电源、监控报警等)。</w:t>
            </w:r>
          </w:p>
        </w:tc>
        <w:tc>
          <w:tcPr>
            <w:tcW w:w="2108"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792"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12.1.4</w:t>
            </w:r>
          </w:p>
        </w:tc>
        <w:tc>
          <w:tcPr>
            <w:tcW w:w="3452"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特殊设备应配备相应的安全防护措施</w:t>
            </w:r>
          </w:p>
        </w:tc>
        <w:tc>
          <w:tcPr>
            <w:tcW w:w="7746"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(238)关注高温、高压、高速运动、电磁辐射等特殊设备，对使用者有培训要求， 有安全警示标识和安全警示线(黄色),设备安全防护措施完好。</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(239)非标准设备、自制设备应经安全论证合格后方可使用，须充分考虑安全系数，并有安全防护措施。</w:t>
            </w:r>
          </w:p>
        </w:tc>
        <w:tc>
          <w:tcPr>
            <w:tcW w:w="2108"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792"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12.2</w:t>
            </w:r>
          </w:p>
        </w:tc>
        <w:tc>
          <w:tcPr>
            <w:tcW w:w="13306"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机械安全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92"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12.2.1</w:t>
            </w:r>
          </w:p>
        </w:tc>
        <w:tc>
          <w:tcPr>
            <w:tcW w:w="3452" w:type="dxa"/>
            <w:vAlign w:val="center"/>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机械设备应保持清洁整齐，可靠接地</w:t>
            </w:r>
          </w:p>
        </w:tc>
        <w:tc>
          <w:tcPr>
            <w:tcW w:w="7746"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(240)机床应保持清洁整齐，严禁在床头、床面、刀架上放置物品。</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(241)机械设备可靠接地，实验结束后，应切断电源，整理好场地并将实验用具等 摆放整齐，及时清理机械设备产生的废渣、废屑。</w:t>
            </w:r>
          </w:p>
        </w:tc>
        <w:tc>
          <w:tcPr>
            <w:tcW w:w="2108"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792"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12.2.2</w:t>
            </w:r>
          </w:p>
        </w:tc>
        <w:tc>
          <w:tcPr>
            <w:tcW w:w="3452" w:type="dxa"/>
            <w:vAlign w:val="center"/>
          </w:tcPr>
          <w:p>
            <w:pPr>
              <w:pStyle w:val="7"/>
              <w:spacing w:before="45" w:line="216" w:lineRule="auto"/>
              <w:jc w:val="both"/>
              <w:rPr>
                <w:rFonts w:ascii="仿宋" w:hAnsi="仿宋" w:eastAsia="仿宋"/>
                <w:spacing w:val="1"/>
                <w:sz w:val="21"/>
                <w:szCs w:val="21"/>
                <w:lang w:eastAsia="zh-CN"/>
              </w:rPr>
            </w:pPr>
            <w:r>
              <w:rPr>
                <w:rFonts w:hint="eastAsia" w:ascii="仿宋" w:hAnsi="仿宋" w:eastAsia="仿宋"/>
                <w:spacing w:val="1"/>
                <w:sz w:val="21"/>
                <w:szCs w:val="21"/>
                <w:lang w:eastAsia="zh-CN"/>
              </w:rPr>
              <w:t>操作机械设备时实验人员应做好个体防护</w:t>
            </w:r>
          </w:p>
        </w:tc>
        <w:tc>
          <w:tcPr>
            <w:tcW w:w="7746"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(242)个体防护用品要穿戴齐全，如工作服、工作帽、工作鞋、防护眼镜等。操作 冷加工设备时必须穿“三紧式 ”工作服，不能留长发(长发要盘在工作帽内),禁止戴手套。</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(243)进入高速切削机械操作工作场所，应穿好工作服、工作鞋，戴好防护眼镜， 扣紧衣袖口，戴好工作帽(长发学生必须将长发盘在工作帽内),禁止戴手套、长围</w:t>
            </w:r>
          </w:p>
        </w:tc>
        <w:tc>
          <w:tcPr>
            <w:tcW w:w="2108" w:type="dxa"/>
          </w:tcPr>
          <w:p>
            <w:pPr>
              <w:pStyle w:val="7"/>
              <w:spacing w:before="45" w:line="216" w:lineRule="auto"/>
              <w:ind w:left="83"/>
              <w:jc w:val="both"/>
              <w:rPr>
                <w:rFonts w:ascii="仿宋" w:hAnsi="仿宋" w:eastAsia="仿宋"/>
                <w:spacing w:val="1"/>
                <w:sz w:val="21"/>
                <w:szCs w:val="21"/>
                <w:lang w:eastAsia="zh-CN"/>
              </w:rPr>
            </w:pPr>
          </w:p>
        </w:tc>
      </w:tr>
    </w:tbl>
    <w:p>
      <w:pPr>
        <w:pStyle w:val="7"/>
        <w:spacing w:before="45" w:line="216" w:lineRule="auto"/>
        <w:jc w:val="both"/>
        <w:rPr>
          <w:rFonts w:ascii="仿宋" w:hAnsi="仿宋" w:eastAsia="仿宋"/>
          <w:spacing w:val="1"/>
          <w:sz w:val="21"/>
          <w:szCs w:val="21"/>
          <w:lang w:eastAsia="zh-CN"/>
        </w:rPr>
      </w:pPr>
    </w:p>
    <w:p>
      <w:pPr>
        <w:pStyle w:val="7"/>
        <w:spacing w:before="45" w:line="216" w:lineRule="auto"/>
        <w:jc w:val="both"/>
        <w:rPr>
          <w:rFonts w:ascii="仿宋" w:hAnsi="仿宋" w:eastAsia="仿宋"/>
          <w:spacing w:val="1"/>
          <w:sz w:val="21"/>
          <w:szCs w:val="21"/>
          <w:lang w:eastAsia="zh-CN"/>
        </w:rPr>
        <w:sectPr>
          <w:footerReference r:id="rId18" w:type="default"/>
          <w:pgSz w:w="16841" w:h="11912"/>
          <w:pgMar w:top="1012" w:right="1889" w:bottom="1544" w:left="1841" w:header="0" w:footer="1409" w:gutter="0"/>
          <w:cols w:space="720" w:num="1"/>
        </w:sectPr>
      </w:pPr>
    </w:p>
    <w:tbl>
      <w:tblPr>
        <w:tblStyle w:val="6"/>
        <w:tblpPr w:leftFromText="180" w:rightFromText="180" w:vertAnchor="text" w:horzAnchor="page" w:tblpX="1365" w:tblpY="149"/>
        <w:tblOverlap w:val="never"/>
        <w:tblW w:w="140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3478"/>
        <w:gridCol w:w="7726"/>
        <w:gridCol w:w="2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765" w:type="dxa"/>
          </w:tcPr>
          <w:p>
            <w:pPr>
              <w:pStyle w:val="7"/>
              <w:spacing w:before="36" w:line="223" w:lineRule="auto"/>
              <w:rPr>
                <w:rFonts w:ascii="黑体" w:hAnsi="黑体" w:eastAsia="黑体" w:cs="黑体"/>
                <w:sz w:val="21"/>
                <w:szCs w:val="21"/>
                <w:lang w:eastAsia="zh-CN"/>
              </w:rPr>
            </w:pPr>
            <w:r>
              <w:rPr>
                <w:rFonts w:hint="eastAsia" w:ascii="黑体" w:hAnsi="黑体" w:eastAsia="黑体" w:cs="黑体"/>
                <w:b/>
                <w:bCs/>
                <w:spacing w:val="3"/>
                <w:sz w:val="21"/>
                <w:szCs w:val="21"/>
              </w:rPr>
              <w:t>序号</w:t>
            </w:r>
          </w:p>
        </w:tc>
        <w:tc>
          <w:tcPr>
            <w:tcW w:w="3478" w:type="dxa"/>
          </w:tcPr>
          <w:p>
            <w:pPr>
              <w:pStyle w:val="7"/>
              <w:spacing w:before="36" w:line="223" w:lineRule="auto"/>
              <w:ind w:left="41"/>
              <w:rPr>
                <w:rFonts w:ascii="黑体" w:hAnsi="黑体" w:eastAsia="黑体" w:cs="黑体"/>
                <w:sz w:val="21"/>
                <w:szCs w:val="21"/>
                <w:lang w:eastAsia="zh-CN"/>
              </w:rPr>
            </w:pPr>
            <w:r>
              <w:rPr>
                <w:rFonts w:hint="eastAsia" w:ascii="黑体" w:hAnsi="黑体" w:eastAsia="黑体" w:cs="黑体"/>
                <w:b/>
                <w:bCs/>
                <w:spacing w:val="10"/>
                <w:sz w:val="21"/>
                <w:szCs w:val="21"/>
              </w:rPr>
              <w:t>检查项目</w:t>
            </w:r>
          </w:p>
        </w:tc>
        <w:tc>
          <w:tcPr>
            <w:tcW w:w="7726" w:type="dxa"/>
          </w:tcPr>
          <w:p>
            <w:pPr>
              <w:pStyle w:val="7"/>
              <w:spacing w:before="36" w:line="223" w:lineRule="auto"/>
              <w:ind w:left="75"/>
              <w:rPr>
                <w:rFonts w:ascii="黑体" w:hAnsi="黑体" w:eastAsia="黑体" w:cs="黑体"/>
                <w:sz w:val="21"/>
                <w:szCs w:val="21"/>
                <w:lang w:eastAsia="zh-CN"/>
              </w:rPr>
            </w:pPr>
            <w:r>
              <w:rPr>
                <w:rFonts w:hint="eastAsia" w:ascii="黑体" w:hAnsi="黑体" w:eastAsia="黑体" w:cs="黑体"/>
                <w:b/>
                <w:bCs/>
                <w:spacing w:val="4"/>
                <w:sz w:val="21"/>
                <w:szCs w:val="21"/>
              </w:rPr>
              <w:t>检查要点</w:t>
            </w:r>
          </w:p>
        </w:tc>
        <w:tc>
          <w:tcPr>
            <w:tcW w:w="2109" w:type="dxa"/>
          </w:tcPr>
          <w:p>
            <w:pPr>
              <w:pStyle w:val="7"/>
              <w:spacing w:before="36" w:line="223" w:lineRule="auto"/>
              <w:ind w:left="43"/>
              <w:rPr>
                <w:rFonts w:ascii="黑体" w:hAnsi="黑体" w:eastAsia="黑体" w:cs="黑体"/>
                <w:sz w:val="21"/>
                <w:szCs w:val="21"/>
                <w:lang w:eastAsia="zh-CN"/>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65" w:type="dxa"/>
          </w:tcPr>
          <w:p>
            <w:pPr>
              <w:pStyle w:val="7"/>
              <w:spacing w:before="45" w:line="216" w:lineRule="auto"/>
              <w:ind w:left="83"/>
              <w:jc w:val="both"/>
              <w:rPr>
                <w:rFonts w:ascii="仿宋" w:hAnsi="仿宋" w:eastAsia="仿宋"/>
                <w:spacing w:val="1"/>
                <w:sz w:val="21"/>
                <w:szCs w:val="21"/>
                <w:lang w:eastAsia="zh-CN"/>
              </w:rPr>
            </w:pPr>
          </w:p>
        </w:tc>
        <w:tc>
          <w:tcPr>
            <w:tcW w:w="3478" w:type="dxa"/>
          </w:tcPr>
          <w:p>
            <w:pPr>
              <w:pStyle w:val="7"/>
              <w:spacing w:before="45" w:line="216" w:lineRule="auto"/>
              <w:ind w:left="83"/>
              <w:jc w:val="both"/>
              <w:rPr>
                <w:rFonts w:ascii="仿宋" w:hAnsi="仿宋" w:eastAsia="仿宋"/>
                <w:spacing w:val="1"/>
                <w:sz w:val="21"/>
                <w:szCs w:val="21"/>
                <w:lang w:eastAsia="zh-CN"/>
              </w:rPr>
            </w:pPr>
          </w:p>
        </w:tc>
        <w:tc>
          <w:tcPr>
            <w:tcW w:w="7726"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巾、领带、手镯等配饰物，禁止穿拖鞋、高跟鞋等。设备运转时严禁用手调整工 件。</w:t>
            </w:r>
          </w:p>
        </w:tc>
        <w:tc>
          <w:tcPr>
            <w:tcW w:w="2109"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765"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12.2.3</w:t>
            </w:r>
          </w:p>
        </w:tc>
        <w:tc>
          <w:tcPr>
            <w:tcW w:w="3478"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铸锻及热处理实验应满足场地和防护要求</w:t>
            </w:r>
          </w:p>
        </w:tc>
        <w:tc>
          <w:tcPr>
            <w:tcW w:w="7726"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(244)铸造实验场地宽敞、通道畅通，使用设备前，操作者要按要求穿戴好防护用 品 。</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(245)盐浴炉加热零件必须预先烘干，并用铁丝绑牢，缓慢放入炉中，以防盐液炸 崩烫伤。</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(246)淬火油槽不得有水，油量不能过少，以免发生火灾。</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(247)与铁水接触的一切工具，使用前必须加热，严禁将冷的工具伸入铁水内，以 免引起爆炸。</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(248)锻压设备不得空打或大力敲打过薄锻件，锻造时锻件应达到850℃以上，锻 锤空置时应垫有木块。</w:t>
            </w:r>
          </w:p>
        </w:tc>
        <w:tc>
          <w:tcPr>
            <w:tcW w:w="2109"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65"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12.2.4</w:t>
            </w:r>
          </w:p>
        </w:tc>
        <w:tc>
          <w:tcPr>
            <w:tcW w:w="3478"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高处作业应符合相关操作规程</w:t>
            </w:r>
          </w:p>
        </w:tc>
        <w:tc>
          <w:tcPr>
            <w:tcW w:w="7726"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(249)在坠落高度基准面2m及以上有可能坠落的高处进行作业，须穿防滑鞋、佩戴安全帽、使用安全带。</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(250)临边作业须在临空一侧设置防护栏杆，有相关安全操作规程。</w:t>
            </w:r>
          </w:p>
        </w:tc>
        <w:tc>
          <w:tcPr>
            <w:tcW w:w="2109"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65"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12.3</w:t>
            </w:r>
          </w:p>
        </w:tc>
        <w:tc>
          <w:tcPr>
            <w:tcW w:w="13313"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电气安全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9" w:hRule="atLeast"/>
        </w:trPr>
        <w:tc>
          <w:tcPr>
            <w:tcW w:w="765" w:type="dxa"/>
          </w:tcPr>
          <w:p>
            <w:pPr>
              <w:pStyle w:val="7"/>
              <w:spacing w:before="45" w:line="216" w:lineRule="auto"/>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12.3.1</w:t>
            </w:r>
          </w:p>
        </w:tc>
        <w:tc>
          <w:tcPr>
            <w:tcW w:w="3478"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电气设备的使用应符合用电安全规范</w:t>
            </w:r>
          </w:p>
        </w:tc>
        <w:tc>
          <w:tcPr>
            <w:tcW w:w="7726"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(251)各种电气设备及电线应始终保持干燥，防止浸湿，以防短路引起火灾或烧坏 电气设备。</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(252)实验室内的功能间墙面都应设有专用接地母排，并设有多点接地引出端，</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(253)高压、大电流等强电实验室要设定安全距离，按规定设置安全警示牌，安全 信号灯，联动式警铃、门锁，有安全隔离装置或屏蔽遮栏(由金属制成，并可靠接地，高度不低于2m)。</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(254)控制室(控制台)应铺橡胶、绝缘垫等。</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(255)强电实验室禁止存放易燃、易爆、易腐品，保持通风散热。</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(256)应为设备配备残余电流泄放专用的接地系统。</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(257)禁止在有可燃气体泄露隐患的环境中使用电动工具；电烙铁有专门的搁架， 用毕立即切断电源。</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(258)强磁设备应配备与大地相连的金属屏蔽网。</w:t>
            </w:r>
          </w:p>
        </w:tc>
        <w:tc>
          <w:tcPr>
            <w:tcW w:w="2109"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65"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12.3.2</w:t>
            </w:r>
          </w:p>
        </w:tc>
        <w:tc>
          <w:tcPr>
            <w:tcW w:w="3478" w:type="dxa"/>
            <w:vAlign w:val="center"/>
          </w:tcPr>
          <w:p>
            <w:pPr>
              <w:pStyle w:val="7"/>
              <w:spacing w:before="45" w:line="216" w:lineRule="auto"/>
              <w:jc w:val="both"/>
              <w:rPr>
                <w:rFonts w:ascii="仿宋" w:hAnsi="仿宋" w:eastAsia="仿宋"/>
                <w:spacing w:val="1"/>
                <w:sz w:val="21"/>
                <w:szCs w:val="21"/>
                <w:lang w:eastAsia="zh-CN"/>
              </w:rPr>
            </w:pPr>
            <w:r>
              <w:rPr>
                <w:rFonts w:hint="eastAsia" w:ascii="仿宋" w:hAnsi="仿宋" w:eastAsia="仿宋"/>
                <w:spacing w:val="1"/>
                <w:sz w:val="21"/>
                <w:szCs w:val="21"/>
                <w:lang w:eastAsia="zh-CN"/>
              </w:rPr>
              <w:t>操作电气设备应配备合适的防护器具</w:t>
            </w:r>
          </w:p>
        </w:tc>
        <w:tc>
          <w:tcPr>
            <w:tcW w:w="7726"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(259)强电类高电压实验必须两人(含)以上，操作时应戴绝缘手套；防护器具按规定进行周期试验或定期更换；静电场所要保持空气湿润，工作人员要穿戴防静电 服、手套和鞋靴。</w:t>
            </w:r>
          </w:p>
        </w:tc>
        <w:tc>
          <w:tcPr>
            <w:tcW w:w="2109" w:type="dxa"/>
          </w:tcPr>
          <w:p>
            <w:pPr>
              <w:pStyle w:val="7"/>
              <w:spacing w:before="45" w:line="216" w:lineRule="auto"/>
              <w:ind w:left="83"/>
              <w:jc w:val="both"/>
              <w:rPr>
                <w:rFonts w:ascii="仿宋" w:hAnsi="仿宋" w:eastAsia="仿宋"/>
                <w:spacing w:val="1"/>
                <w:sz w:val="21"/>
                <w:szCs w:val="21"/>
                <w:lang w:eastAsia="zh-CN"/>
              </w:rPr>
            </w:pPr>
          </w:p>
        </w:tc>
      </w:tr>
    </w:tbl>
    <w:p>
      <w:pPr>
        <w:pStyle w:val="7"/>
        <w:spacing w:before="45" w:line="216" w:lineRule="auto"/>
        <w:ind w:left="83"/>
        <w:jc w:val="both"/>
        <w:rPr>
          <w:rFonts w:ascii="仿宋" w:hAnsi="仿宋" w:eastAsia="仿宋"/>
          <w:spacing w:val="1"/>
          <w:sz w:val="21"/>
          <w:szCs w:val="21"/>
          <w:lang w:eastAsia="zh-CN"/>
        </w:rPr>
        <w:sectPr>
          <w:footerReference r:id="rId19" w:type="default"/>
          <w:pgSz w:w="16841" w:h="11912"/>
          <w:pgMar w:top="1012" w:right="1920" w:bottom="1676" w:left="1829" w:header="0" w:footer="1541" w:gutter="0"/>
          <w:cols w:space="720" w:num="1"/>
        </w:sectPr>
      </w:pPr>
    </w:p>
    <w:tbl>
      <w:tblPr>
        <w:tblStyle w:val="6"/>
        <w:tblpPr w:leftFromText="180" w:rightFromText="180" w:vertAnchor="text" w:horzAnchor="page" w:tblpX="1365" w:tblpY="109"/>
        <w:tblOverlap w:val="never"/>
        <w:tblW w:w="141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3510"/>
        <w:gridCol w:w="7725"/>
        <w:gridCol w:w="21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3" w:hRule="atLeast"/>
        </w:trPr>
        <w:tc>
          <w:tcPr>
            <w:tcW w:w="750" w:type="dxa"/>
          </w:tcPr>
          <w:p>
            <w:pPr>
              <w:pStyle w:val="7"/>
              <w:spacing w:before="36" w:line="223" w:lineRule="auto"/>
              <w:rPr>
                <w:rFonts w:ascii="黑体" w:hAnsi="黑体" w:eastAsia="黑体" w:cs="黑体"/>
                <w:sz w:val="21"/>
                <w:szCs w:val="21"/>
                <w:lang w:eastAsia="zh-CN"/>
              </w:rPr>
            </w:pPr>
            <w:r>
              <w:rPr>
                <w:rFonts w:hint="eastAsia" w:ascii="黑体" w:hAnsi="黑体" w:eastAsia="黑体" w:cs="黑体"/>
                <w:b/>
                <w:bCs/>
                <w:spacing w:val="3"/>
                <w:sz w:val="21"/>
                <w:szCs w:val="21"/>
              </w:rPr>
              <w:t>序号</w:t>
            </w:r>
          </w:p>
        </w:tc>
        <w:tc>
          <w:tcPr>
            <w:tcW w:w="3510" w:type="dxa"/>
          </w:tcPr>
          <w:p>
            <w:pPr>
              <w:pStyle w:val="7"/>
              <w:spacing w:before="36" w:line="223" w:lineRule="auto"/>
              <w:ind w:left="41"/>
              <w:rPr>
                <w:rFonts w:ascii="黑体" w:hAnsi="黑体" w:eastAsia="黑体" w:cs="黑体"/>
                <w:sz w:val="21"/>
                <w:szCs w:val="21"/>
                <w:lang w:eastAsia="zh-CN"/>
              </w:rPr>
            </w:pPr>
            <w:r>
              <w:rPr>
                <w:rFonts w:hint="eastAsia" w:ascii="黑体" w:hAnsi="黑体" w:eastAsia="黑体" w:cs="黑体"/>
                <w:b/>
                <w:bCs/>
                <w:spacing w:val="10"/>
                <w:sz w:val="21"/>
                <w:szCs w:val="21"/>
              </w:rPr>
              <w:t>检查项目</w:t>
            </w:r>
          </w:p>
        </w:tc>
        <w:tc>
          <w:tcPr>
            <w:tcW w:w="7725" w:type="dxa"/>
          </w:tcPr>
          <w:p>
            <w:pPr>
              <w:pStyle w:val="7"/>
              <w:spacing w:before="36" w:line="223" w:lineRule="auto"/>
              <w:ind w:left="75"/>
              <w:rPr>
                <w:rFonts w:ascii="黑体" w:hAnsi="黑体" w:eastAsia="黑体" w:cs="黑体"/>
                <w:sz w:val="21"/>
                <w:szCs w:val="21"/>
                <w:lang w:eastAsia="zh-CN"/>
              </w:rPr>
            </w:pPr>
            <w:r>
              <w:rPr>
                <w:rFonts w:hint="eastAsia" w:ascii="黑体" w:hAnsi="黑体" w:eastAsia="黑体" w:cs="黑体"/>
                <w:b/>
                <w:bCs/>
                <w:spacing w:val="4"/>
                <w:sz w:val="21"/>
                <w:szCs w:val="21"/>
              </w:rPr>
              <w:t>检查要点</w:t>
            </w:r>
          </w:p>
        </w:tc>
        <w:tc>
          <w:tcPr>
            <w:tcW w:w="2115" w:type="dxa"/>
          </w:tcPr>
          <w:p>
            <w:pPr>
              <w:pStyle w:val="7"/>
              <w:spacing w:before="36" w:line="223" w:lineRule="auto"/>
              <w:ind w:left="43"/>
              <w:rPr>
                <w:rFonts w:ascii="黑体" w:hAnsi="黑体" w:eastAsia="黑体" w:cs="黑体"/>
                <w:sz w:val="21"/>
                <w:szCs w:val="21"/>
                <w:lang w:eastAsia="zh-CN"/>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6" w:hRule="atLeast"/>
        </w:trPr>
        <w:tc>
          <w:tcPr>
            <w:tcW w:w="750"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12.4</w:t>
            </w:r>
          </w:p>
        </w:tc>
        <w:tc>
          <w:tcPr>
            <w:tcW w:w="13350"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激光安全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3" w:hRule="atLeast"/>
        </w:trPr>
        <w:tc>
          <w:tcPr>
            <w:tcW w:w="75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12.4.1</w:t>
            </w:r>
          </w:p>
        </w:tc>
        <w:tc>
          <w:tcPr>
            <w:tcW w:w="351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激光实验室配有完备的安全屏蔽设施</w:t>
            </w:r>
          </w:p>
        </w:tc>
        <w:tc>
          <w:tcPr>
            <w:tcW w:w="77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(260)功率较大的激光器有互锁装置、防护罩，激光照射方向不会对他人造成伤害，防止激光发射口及反射镜上扬。</w:t>
            </w:r>
          </w:p>
        </w:tc>
        <w:tc>
          <w:tcPr>
            <w:tcW w:w="211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3" w:hRule="atLeast"/>
        </w:trPr>
        <w:tc>
          <w:tcPr>
            <w:tcW w:w="75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12.4.2</w:t>
            </w:r>
          </w:p>
        </w:tc>
        <w:tc>
          <w:tcPr>
            <w:tcW w:w="351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进行激光实验时须佩戴合适的个体防护用具</w:t>
            </w:r>
          </w:p>
        </w:tc>
        <w:tc>
          <w:tcPr>
            <w:tcW w:w="77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(261)操作人员佩戴防护眼镜等防护用品、不戴手表等能反光的物品，禁止直视激 光束和它的反向光束，禁止对激光器件做任何目视准直操作，禁止用眼睛检查激光 器故障，检查激光器必须在断电情况下进行。</w:t>
            </w:r>
          </w:p>
        </w:tc>
        <w:tc>
          <w:tcPr>
            <w:tcW w:w="211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75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12.4.3</w:t>
            </w:r>
          </w:p>
        </w:tc>
        <w:tc>
          <w:tcPr>
            <w:tcW w:w="351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警告标识</w:t>
            </w:r>
          </w:p>
        </w:tc>
        <w:tc>
          <w:tcPr>
            <w:tcW w:w="77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(262)所有激光区域内张贴警告标识。</w:t>
            </w:r>
          </w:p>
        </w:tc>
        <w:tc>
          <w:tcPr>
            <w:tcW w:w="211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6" w:hRule="atLeast"/>
        </w:trPr>
        <w:tc>
          <w:tcPr>
            <w:tcW w:w="750"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12.5</w:t>
            </w:r>
          </w:p>
        </w:tc>
        <w:tc>
          <w:tcPr>
            <w:tcW w:w="13350"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粉尘安全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4" w:hRule="atLeast"/>
        </w:trPr>
        <w:tc>
          <w:tcPr>
            <w:tcW w:w="75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12.5.1</w:t>
            </w:r>
          </w:p>
        </w:tc>
        <w:tc>
          <w:tcPr>
            <w:tcW w:w="351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粉尘爆炸危险场所，应选用防爆型电气设备</w:t>
            </w:r>
          </w:p>
        </w:tc>
        <w:tc>
          <w:tcPr>
            <w:tcW w:w="77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(263)防爆灯、防爆电气开关的导线敷设应选用镀锌管，必须达到整体防爆要求。</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(264)粉尘加工要有除尘装置，除尘器符合防静电安全要求，除尘设施应有阻爆， 隔爆、泄爆装置，使用工具具有防爆功能或不产生火花。</w:t>
            </w:r>
          </w:p>
        </w:tc>
        <w:tc>
          <w:tcPr>
            <w:tcW w:w="211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5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12.5.2</w:t>
            </w:r>
          </w:p>
        </w:tc>
        <w:tc>
          <w:tcPr>
            <w:tcW w:w="351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进入产生粉尘的实验场所，须穿戴合适的个体防护用具</w:t>
            </w:r>
          </w:p>
        </w:tc>
        <w:tc>
          <w:tcPr>
            <w:tcW w:w="77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(265)进入粉尘爆炸危险场所应穿防静电服装，禁止穿化纤材料制作的衣服，工作 时必须佩戴防尘口罩和护耳器。</w:t>
            </w:r>
          </w:p>
        </w:tc>
        <w:tc>
          <w:tcPr>
            <w:tcW w:w="211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3" w:hRule="atLeast"/>
        </w:trPr>
        <w:tc>
          <w:tcPr>
            <w:tcW w:w="75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12.5.3</w:t>
            </w:r>
          </w:p>
        </w:tc>
        <w:tc>
          <w:tcPr>
            <w:tcW w:w="351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确保实验室粉尘浓度在爆炸限以下，并配备灭火装置</w:t>
            </w:r>
          </w:p>
        </w:tc>
        <w:tc>
          <w:tcPr>
            <w:tcW w:w="772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(266)粉尘浓度较高的场所，适当配备加湿装置，并配备合适的灭火装置。</w:t>
            </w:r>
          </w:p>
        </w:tc>
        <w:tc>
          <w:tcPr>
            <w:tcW w:w="211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6" w:hRule="atLeast"/>
        </w:trPr>
        <w:tc>
          <w:tcPr>
            <w:tcW w:w="750"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13</w:t>
            </w:r>
          </w:p>
        </w:tc>
        <w:tc>
          <w:tcPr>
            <w:tcW w:w="13350" w:type="dxa"/>
            <w:gridSpan w:val="3"/>
            <w:vAlign w:val="center"/>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特种设备与常规冷热设备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50"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13.1</w:t>
            </w:r>
          </w:p>
        </w:tc>
        <w:tc>
          <w:tcPr>
            <w:tcW w:w="13350" w:type="dxa"/>
            <w:gridSpan w:val="3"/>
            <w:vAlign w:val="center"/>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起重类设备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75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13.1.1</w:t>
            </w:r>
          </w:p>
        </w:tc>
        <w:tc>
          <w:tcPr>
            <w:tcW w:w="351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达到《特种设备目录》中起重机械指标的起重设备须取得特种设备使用登记证</w:t>
            </w:r>
          </w:p>
        </w:tc>
        <w:tc>
          <w:tcPr>
            <w:tcW w:w="77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11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13" w:hRule="atLeast"/>
        </w:trPr>
        <w:tc>
          <w:tcPr>
            <w:tcW w:w="75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13.1.2</w:t>
            </w:r>
          </w:p>
        </w:tc>
        <w:tc>
          <w:tcPr>
            <w:tcW w:w="351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起重机械作业人员、检验单位须有相关资质</w:t>
            </w:r>
          </w:p>
        </w:tc>
        <w:tc>
          <w:tcPr>
            <w:tcW w:w="77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(268)起重机指挥、起重机司机须取得相应的特种设备安全管理和作业人员证，持 证上岗，并每4年复审一次。</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(269)委托有资质的单位进行定期检验，并将定期检验合格证置于特种设备的显著 位置。</w:t>
            </w:r>
          </w:p>
        </w:tc>
        <w:tc>
          <w:tcPr>
            <w:tcW w:w="2115"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15" w:hRule="atLeast"/>
        </w:trPr>
        <w:tc>
          <w:tcPr>
            <w:tcW w:w="75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13.1.3</w:t>
            </w:r>
          </w:p>
        </w:tc>
        <w:tc>
          <w:tcPr>
            <w:tcW w:w="351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起重机械须定期保养，设置警示标识，安装防护设施</w:t>
            </w:r>
          </w:p>
        </w:tc>
        <w:tc>
          <w:tcPr>
            <w:tcW w:w="77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(270)在用起重机械至少每月进行1次日常维护保养和自行检查，并做记录。</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(271)制定安全操作规程，并在周边醒目位置张贴警示标识，有必要的安全距离和 防护措施。</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(272)起重设备声光报警正常，室内起重设备应标有运行通道。</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(273)废弃不用的起重机械应及时拆除。</w:t>
            </w:r>
          </w:p>
        </w:tc>
        <w:tc>
          <w:tcPr>
            <w:tcW w:w="2115" w:type="dxa"/>
          </w:tcPr>
          <w:p>
            <w:pPr>
              <w:pStyle w:val="7"/>
              <w:spacing w:before="45" w:line="216" w:lineRule="auto"/>
              <w:ind w:left="83"/>
              <w:jc w:val="both"/>
              <w:rPr>
                <w:rFonts w:ascii="仿宋" w:hAnsi="仿宋" w:eastAsia="仿宋"/>
                <w:spacing w:val="1"/>
                <w:sz w:val="21"/>
                <w:szCs w:val="21"/>
                <w:lang w:eastAsia="zh-CN"/>
              </w:rPr>
            </w:pPr>
          </w:p>
        </w:tc>
      </w:tr>
    </w:tbl>
    <w:p>
      <w:pPr>
        <w:pStyle w:val="7"/>
        <w:spacing w:before="45" w:line="216" w:lineRule="auto"/>
        <w:jc w:val="both"/>
        <w:rPr>
          <w:rFonts w:ascii="仿宋" w:hAnsi="仿宋" w:eastAsia="仿宋"/>
          <w:spacing w:val="1"/>
          <w:sz w:val="21"/>
          <w:szCs w:val="21"/>
          <w:lang w:eastAsia="zh-CN"/>
        </w:rPr>
      </w:pPr>
    </w:p>
    <w:p>
      <w:pPr>
        <w:pStyle w:val="7"/>
        <w:spacing w:before="45" w:line="216" w:lineRule="auto"/>
        <w:jc w:val="both"/>
        <w:rPr>
          <w:rFonts w:ascii="仿宋" w:hAnsi="仿宋" w:eastAsia="仿宋"/>
          <w:spacing w:val="1"/>
          <w:sz w:val="21"/>
          <w:szCs w:val="21"/>
          <w:lang w:eastAsia="zh-CN"/>
        </w:rPr>
        <w:sectPr>
          <w:footerReference r:id="rId20" w:type="default"/>
          <w:pgSz w:w="16841" w:h="11912"/>
          <w:pgMar w:top="1012" w:right="1932" w:bottom="1686" w:left="1848" w:header="0" w:footer="1551" w:gutter="0"/>
          <w:cols w:space="720" w:num="1"/>
        </w:sectPr>
      </w:pPr>
    </w:p>
    <w:tbl>
      <w:tblPr>
        <w:tblStyle w:val="6"/>
        <w:tblpPr w:leftFromText="180" w:rightFromText="180" w:vertAnchor="text" w:horzAnchor="page" w:tblpX="1380" w:tblpY="66"/>
        <w:tblOverlap w:val="never"/>
        <w:tblW w:w="141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3495"/>
        <w:gridCol w:w="7725"/>
        <w:gridCol w:w="2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0" w:type="dxa"/>
          </w:tcPr>
          <w:p>
            <w:pPr>
              <w:pStyle w:val="7"/>
              <w:spacing w:before="36" w:line="223" w:lineRule="auto"/>
              <w:rPr>
                <w:rFonts w:ascii="黑体" w:hAnsi="黑体" w:eastAsia="黑体" w:cs="黑体"/>
                <w:sz w:val="21"/>
                <w:szCs w:val="21"/>
                <w:lang w:eastAsia="zh-CN"/>
              </w:rPr>
            </w:pPr>
            <w:r>
              <w:rPr>
                <w:rFonts w:hint="eastAsia" w:ascii="黑体" w:hAnsi="黑体" w:eastAsia="黑体" w:cs="黑体"/>
                <w:b/>
                <w:bCs/>
                <w:spacing w:val="3"/>
                <w:sz w:val="21"/>
                <w:szCs w:val="21"/>
              </w:rPr>
              <w:t>序号</w:t>
            </w:r>
          </w:p>
        </w:tc>
        <w:tc>
          <w:tcPr>
            <w:tcW w:w="3495" w:type="dxa"/>
          </w:tcPr>
          <w:p>
            <w:pPr>
              <w:pStyle w:val="7"/>
              <w:spacing w:before="36" w:line="223" w:lineRule="auto"/>
              <w:ind w:left="41"/>
              <w:rPr>
                <w:rFonts w:ascii="黑体" w:hAnsi="黑体" w:eastAsia="黑体" w:cs="黑体"/>
                <w:sz w:val="21"/>
                <w:szCs w:val="21"/>
                <w:lang w:eastAsia="zh-CN"/>
              </w:rPr>
            </w:pPr>
            <w:r>
              <w:rPr>
                <w:rFonts w:hint="eastAsia" w:ascii="黑体" w:hAnsi="黑体" w:eastAsia="黑体" w:cs="黑体"/>
                <w:b/>
                <w:bCs/>
                <w:spacing w:val="10"/>
                <w:sz w:val="21"/>
                <w:szCs w:val="21"/>
              </w:rPr>
              <w:t>检查项目</w:t>
            </w:r>
          </w:p>
        </w:tc>
        <w:tc>
          <w:tcPr>
            <w:tcW w:w="7725" w:type="dxa"/>
          </w:tcPr>
          <w:p>
            <w:pPr>
              <w:pStyle w:val="7"/>
              <w:spacing w:before="36" w:line="223" w:lineRule="auto"/>
              <w:ind w:left="75"/>
              <w:rPr>
                <w:rFonts w:ascii="黑体" w:hAnsi="黑体" w:eastAsia="黑体" w:cs="黑体"/>
                <w:sz w:val="21"/>
                <w:szCs w:val="21"/>
                <w:lang w:eastAsia="zh-CN"/>
              </w:rPr>
            </w:pPr>
            <w:r>
              <w:rPr>
                <w:rFonts w:hint="eastAsia" w:ascii="黑体" w:hAnsi="黑体" w:eastAsia="黑体" w:cs="黑体"/>
                <w:b/>
                <w:bCs/>
                <w:spacing w:val="4"/>
                <w:sz w:val="21"/>
                <w:szCs w:val="21"/>
              </w:rPr>
              <w:t>检查要点</w:t>
            </w:r>
          </w:p>
        </w:tc>
        <w:tc>
          <w:tcPr>
            <w:tcW w:w="2130" w:type="dxa"/>
          </w:tcPr>
          <w:p>
            <w:pPr>
              <w:pStyle w:val="7"/>
              <w:spacing w:before="36" w:line="223" w:lineRule="auto"/>
              <w:ind w:left="43"/>
              <w:rPr>
                <w:rFonts w:ascii="黑体" w:hAnsi="黑体" w:eastAsia="黑体" w:cs="黑体"/>
                <w:sz w:val="21"/>
                <w:szCs w:val="21"/>
                <w:lang w:eastAsia="zh-CN"/>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0"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13.2</w:t>
            </w:r>
          </w:p>
        </w:tc>
        <w:tc>
          <w:tcPr>
            <w:tcW w:w="13350"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压力容器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2" w:hRule="atLeast"/>
        </w:trPr>
        <w:tc>
          <w:tcPr>
            <w:tcW w:w="75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13.2.1</w:t>
            </w:r>
          </w:p>
        </w:tc>
        <w:tc>
          <w:tcPr>
            <w:tcW w:w="3495"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压力容器使用登记、相关人员资格</w:t>
            </w:r>
          </w:p>
        </w:tc>
        <w:tc>
          <w:tcPr>
            <w:tcW w:w="772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(274)盛装气体或者液体，承载一定压力的密闭设备，其范围规定为最高工作压力 大于或者等于0.1MPa(表压)的气体、液化气体和最高工作温度高于或者等于标准  沸点的液体、容积大于或者等于30L且内直径(非圆形截面指截面内边界最大几何  尺寸)大于或者等于150mm的固定式容器和移动式容器， 以及氧舱，须取得特种设备使用登记证。设备铭牌上标明为简单压力容器的无须办理。 (气瓶的安全检查 要点见9.6“实验室气体管理”)。</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(275)快开门式压力容器操作人员、移动式压力容器充装人员、氧舱维护保养人员，特种设备安全管理员应取得相应的特种设备安全管理和作业人员证，持证上岗，并每4年复审1次。</w:t>
            </w:r>
          </w:p>
        </w:tc>
        <w:tc>
          <w:tcPr>
            <w:tcW w:w="213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5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13.2.2</w:t>
            </w:r>
          </w:p>
        </w:tc>
        <w:tc>
          <w:tcPr>
            <w:tcW w:w="3495"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压力容器定期检验</w:t>
            </w:r>
          </w:p>
        </w:tc>
        <w:tc>
          <w:tcPr>
            <w:tcW w:w="772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(276)委托有资质的单位进行定期检验，并将定期检验合格证置于特种设备的显著 位置。</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(277)安全阀或压力表等附件须委托有资质的单位定期校验或检定。</w:t>
            </w:r>
          </w:p>
        </w:tc>
        <w:tc>
          <w:tcPr>
            <w:tcW w:w="213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0" w:hRule="atLeast"/>
        </w:trPr>
        <w:tc>
          <w:tcPr>
            <w:tcW w:w="750"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13.2.3</w:t>
            </w:r>
          </w:p>
        </w:tc>
        <w:tc>
          <w:tcPr>
            <w:tcW w:w="3495"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压力容器使用管理</w:t>
            </w:r>
          </w:p>
        </w:tc>
        <w:tc>
          <w:tcPr>
            <w:tcW w:w="772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(278)设置安全管理机构，配备安全管理负责人、安全管理人员和作业人员，建立 各项安全管理制度，制定操作规程。</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(279)实验室应经常巡回检查，发现异常及时处理，并做记录。</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(280)建立压力容器自行检查制度，对压力容器本体及其安全附件、装卸附件安全 保护装置、测量调控装置、附属仪器仪表进行经常性维护保养，每月至少进行1次 月度检查，每年至少进行1次年度检查，并做记录。</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(281)简单压力容器也应建立设备安全管理档案。</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(282)盛装可燃、爆炸性气体的压力容器，其电气设施应防爆，电器开关和熔断器 都应设置在明显位置。室外放置的大型气罐应注意防雷。</w:t>
            </w:r>
          </w:p>
        </w:tc>
        <w:tc>
          <w:tcPr>
            <w:tcW w:w="213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50"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13.2.4</w:t>
            </w:r>
          </w:p>
        </w:tc>
        <w:tc>
          <w:tcPr>
            <w:tcW w:w="349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压力容器的使用年限及报废</w:t>
            </w:r>
          </w:p>
        </w:tc>
        <w:tc>
          <w:tcPr>
            <w:tcW w:w="772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(283)达到设计使用年限的压力容器应及时报废(未规定设计使用年限，但是使用 超过20年的压力容器视为达到使用年限),如若超期使用必须进行检验和安全评估。</w:t>
            </w:r>
          </w:p>
        </w:tc>
        <w:tc>
          <w:tcPr>
            <w:tcW w:w="213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0"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13.3</w:t>
            </w:r>
          </w:p>
        </w:tc>
        <w:tc>
          <w:tcPr>
            <w:tcW w:w="13350" w:type="dxa"/>
            <w:gridSpan w:val="3"/>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场(厂)内专用机动车辆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5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13.3.1</w:t>
            </w:r>
          </w:p>
        </w:tc>
        <w:tc>
          <w:tcPr>
            <w:tcW w:w="349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场(厂)内专用机动车辆须取得特种设备使用登记证</w:t>
            </w:r>
          </w:p>
        </w:tc>
        <w:tc>
          <w:tcPr>
            <w:tcW w:w="772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(284)校园内使用的专用机动车辆须取得特种设备使用登记证。</w:t>
            </w:r>
          </w:p>
        </w:tc>
        <w:tc>
          <w:tcPr>
            <w:tcW w:w="213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750"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13.3.2</w:t>
            </w:r>
          </w:p>
        </w:tc>
        <w:tc>
          <w:tcPr>
            <w:tcW w:w="349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作业人员取得相应的特种设备安全管理和作业人员证，持证上岗</w:t>
            </w:r>
          </w:p>
        </w:tc>
        <w:tc>
          <w:tcPr>
            <w:tcW w:w="772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(285)作业人员取得相应的特种设备安全管理和作业人员证，证书在有效期内。</w:t>
            </w:r>
          </w:p>
        </w:tc>
        <w:tc>
          <w:tcPr>
            <w:tcW w:w="2130" w:type="dxa"/>
          </w:tcPr>
          <w:p>
            <w:pPr>
              <w:pStyle w:val="7"/>
              <w:spacing w:before="45" w:line="216" w:lineRule="auto"/>
              <w:ind w:left="83"/>
              <w:jc w:val="both"/>
              <w:rPr>
                <w:rFonts w:ascii="仿宋" w:hAnsi="仿宋" w:eastAsia="仿宋"/>
                <w:spacing w:val="1"/>
                <w:sz w:val="21"/>
                <w:szCs w:val="21"/>
                <w:lang w:eastAsia="zh-CN"/>
              </w:rPr>
            </w:pPr>
          </w:p>
        </w:tc>
      </w:tr>
    </w:tbl>
    <w:p>
      <w:pPr>
        <w:pStyle w:val="7"/>
        <w:spacing w:before="45" w:line="216" w:lineRule="auto"/>
        <w:jc w:val="both"/>
        <w:rPr>
          <w:rFonts w:ascii="仿宋" w:hAnsi="仿宋" w:eastAsia="仿宋"/>
          <w:spacing w:val="1"/>
          <w:sz w:val="21"/>
          <w:szCs w:val="21"/>
          <w:lang w:eastAsia="zh-CN"/>
        </w:rPr>
        <w:sectPr>
          <w:footerReference r:id="rId21" w:type="default"/>
          <w:pgSz w:w="16841" w:h="11912"/>
          <w:pgMar w:top="1012" w:right="1920" w:bottom="1524" w:left="1829" w:header="0" w:footer="1390" w:gutter="0"/>
          <w:cols w:space="720" w:num="1"/>
        </w:sectPr>
      </w:pPr>
    </w:p>
    <w:tbl>
      <w:tblPr>
        <w:tblStyle w:val="6"/>
        <w:tblpPr w:leftFromText="180" w:rightFromText="180" w:vertAnchor="text" w:horzAnchor="page" w:tblpX="1379" w:tblpY="180"/>
        <w:tblOverlap w:val="never"/>
        <w:tblW w:w="141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3465"/>
        <w:gridCol w:w="7755"/>
        <w:gridCol w:w="2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65" w:type="dxa"/>
          </w:tcPr>
          <w:p>
            <w:pPr>
              <w:pStyle w:val="7"/>
              <w:spacing w:before="36" w:line="223" w:lineRule="auto"/>
              <w:rPr>
                <w:rFonts w:ascii="黑体" w:hAnsi="黑体" w:eastAsia="黑体" w:cs="黑体"/>
                <w:sz w:val="21"/>
                <w:szCs w:val="21"/>
                <w:lang w:eastAsia="zh-CN"/>
              </w:rPr>
            </w:pPr>
            <w:r>
              <w:rPr>
                <w:rFonts w:hint="eastAsia" w:ascii="黑体" w:hAnsi="黑体" w:eastAsia="黑体" w:cs="黑体"/>
                <w:b/>
                <w:bCs/>
                <w:spacing w:val="3"/>
                <w:sz w:val="21"/>
                <w:szCs w:val="21"/>
              </w:rPr>
              <w:t>序号</w:t>
            </w:r>
          </w:p>
        </w:tc>
        <w:tc>
          <w:tcPr>
            <w:tcW w:w="3465" w:type="dxa"/>
          </w:tcPr>
          <w:p>
            <w:pPr>
              <w:pStyle w:val="7"/>
              <w:spacing w:before="36" w:line="223" w:lineRule="auto"/>
              <w:ind w:left="41"/>
              <w:rPr>
                <w:rFonts w:ascii="黑体" w:hAnsi="黑体" w:eastAsia="黑体" w:cs="黑体"/>
                <w:sz w:val="21"/>
                <w:szCs w:val="21"/>
                <w:lang w:eastAsia="zh-CN"/>
              </w:rPr>
            </w:pPr>
            <w:r>
              <w:rPr>
                <w:rFonts w:hint="eastAsia" w:ascii="黑体" w:hAnsi="黑体" w:eastAsia="黑体" w:cs="黑体"/>
                <w:b/>
                <w:bCs/>
                <w:spacing w:val="10"/>
                <w:sz w:val="21"/>
                <w:szCs w:val="21"/>
              </w:rPr>
              <w:t>检查项目</w:t>
            </w:r>
          </w:p>
        </w:tc>
        <w:tc>
          <w:tcPr>
            <w:tcW w:w="7755" w:type="dxa"/>
          </w:tcPr>
          <w:p>
            <w:pPr>
              <w:pStyle w:val="7"/>
              <w:spacing w:before="36" w:line="223" w:lineRule="auto"/>
              <w:ind w:left="75"/>
              <w:rPr>
                <w:rFonts w:ascii="黑体" w:hAnsi="黑体" w:eastAsia="黑体" w:cs="黑体"/>
                <w:sz w:val="21"/>
                <w:szCs w:val="21"/>
                <w:lang w:eastAsia="zh-CN"/>
              </w:rPr>
            </w:pPr>
            <w:r>
              <w:rPr>
                <w:rFonts w:hint="eastAsia" w:ascii="黑体" w:hAnsi="黑体" w:eastAsia="黑体" w:cs="黑体"/>
                <w:b/>
                <w:bCs/>
                <w:spacing w:val="4"/>
                <w:sz w:val="21"/>
                <w:szCs w:val="21"/>
              </w:rPr>
              <w:t>检查要点</w:t>
            </w:r>
          </w:p>
        </w:tc>
        <w:tc>
          <w:tcPr>
            <w:tcW w:w="2130" w:type="dxa"/>
          </w:tcPr>
          <w:p>
            <w:pPr>
              <w:pStyle w:val="7"/>
              <w:spacing w:before="36" w:line="223" w:lineRule="auto"/>
              <w:ind w:left="43"/>
              <w:rPr>
                <w:rFonts w:ascii="黑体" w:hAnsi="黑体" w:eastAsia="黑体" w:cs="黑体"/>
                <w:sz w:val="21"/>
                <w:szCs w:val="21"/>
                <w:lang w:eastAsia="zh-CN"/>
              </w:rPr>
            </w:pPr>
            <w:r>
              <w:rPr>
                <w:rFonts w:hint="eastAsia" w:ascii="黑体" w:hAnsi="黑体" w:eastAsia="黑体" w:cs="黑体"/>
                <w:b/>
                <w:bCs/>
                <w:spacing w:val="3"/>
                <w:sz w:val="21"/>
                <w:szCs w:val="21"/>
              </w:rPr>
              <w:t>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6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13.3.3</w:t>
            </w:r>
          </w:p>
        </w:tc>
        <w:tc>
          <w:tcPr>
            <w:tcW w:w="346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委托有资质的单位进行定期检验</w:t>
            </w:r>
          </w:p>
        </w:tc>
        <w:tc>
          <w:tcPr>
            <w:tcW w:w="775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(286)合格证在有效期内。</w:t>
            </w:r>
          </w:p>
        </w:tc>
        <w:tc>
          <w:tcPr>
            <w:tcW w:w="213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5" w:hRule="atLeast"/>
        </w:trPr>
        <w:tc>
          <w:tcPr>
            <w:tcW w:w="765" w:type="dxa"/>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13.4</w:t>
            </w:r>
          </w:p>
        </w:tc>
        <w:tc>
          <w:tcPr>
            <w:tcW w:w="13350" w:type="dxa"/>
            <w:gridSpan w:val="3"/>
            <w:vAlign w:val="center"/>
          </w:tcPr>
          <w:p>
            <w:pPr>
              <w:pStyle w:val="7"/>
              <w:spacing w:before="45" w:line="216" w:lineRule="auto"/>
              <w:ind w:left="83"/>
              <w:jc w:val="both"/>
              <w:rPr>
                <w:rFonts w:ascii="仿宋" w:hAnsi="仿宋" w:eastAsia="仿宋"/>
                <w:b/>
                <w:bCs/>
                <w:spacing w:val="1"/>
                <w:sz w:val="21"/>
                <w:szCs w:val="21"/>
                <w:lang w:eastAsia="zh-CN"/>
              </w:rPr>
            </w:pPr>
            <w:r>
              <w:rPr>
                <w:rFonts w:hint="eastAsia" w:ascii="仿宋" w:hAnsi="仿宋" w:eastAsia="仿宋"/>
                <w:b/>
                <w:bCs/>
                <w:spacing w:val="1"/>
                <w:sz w:val="21"/>
                <w:szCs w:val="21"/>
                <w:lang w:eastAsia="zh-CN"/>
              </w:rPr>
              <w:t>加热及制冷装置管理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76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13.4.1</w:t>
            </w:r>
          </w:p>
        </w:tc>
        <w:tc>
          <w:tcPr>
            <w:tcW w:w="3465" w:type="dxa"/>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贮存危险化学品的冰箱满足防爆要求</w:t>
            </w:r>
          </w:p>
        </w:tc>
        <w:tc>
          <w:tcPr>
            <w:tcW w:w="775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(287)贮存危险化学品的冰箱应为防爆冰箱或经过防爆改造的冰箱，并在冰箱门上注明是否防爆。</w:t>
            </w:r>
          </w:p>
        </w:tc>
        <w:tc>
          <w:tcPr>
            <w:tcW w:w="213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75" w:hRule="atLeast"/>
        </w:trPr>
        <w:tc>
          <w:tcPr>
            <w:tcW w:w="765"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13.4.2</w:t>
            </w:r>
          </w:p>
        </w:tc>
        <w:tc>
          <w:tcPr>
            <w:tcW w:w="346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冰箱内存放的物品须标识明确，试剂必须可靠密封</w:t>
            </w:r>
          </w:p>
        </w:tc>
        <w:tc>
          <w:tcPr>
            <w:tcW w:w="775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(288)标识至少包括：名称、使用人、日期等，并经常清理。</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(289)实验室冰箱中试剂瓶螺口拧紧，无开口容器，不得放置非实验用食品、药品。超低温冰箱门上有储物分区标识，置于走廊等区域的超低温冰箱须上锁。</w:t>
            </w:r>
          </w:p>
        </w:tc>
        <w:tc>
          <w:tcPr>
            <w:tcW w:w="213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0" w:hRule="atLeast"/>
        </w:trPr>
        <w:tc>
          <w:tcPr>
            <w:tcW w:w="765"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13.4.3</w:t>
            </w:r>
          </w:p>
        </w:tc>
        <w:tc>
          <w:tcPr>
            <w:tcW w:w="3465" w:type="dxa"/>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冰箱、烘箱、电阻炉的使用满足使用期间和空间等要求</w:t>
            </w:r>
          </w:p>
        </w:tc>
        <w:tc>
          <w:tcPr>
            <w:tcW w:w="775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(290)冰箱不超期使用(一般使用期限控制为10年),如超期使用须经审批，</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(291)冰箱周围留出足够空间，周围不堆放杂物，不影响散热。</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(292)烘箱、电阻炉不超期使用(一般使用期限控制为12年),如超期使用须经 审批。</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(293)加热设备应放置在通风干燥处，不直接放置在木桌、木板等易燃物品上，周围有一定的散热空间，设备旁不能放置易燃易爆化学品、气瓶、冰箱、杂物等，应远离配电箱、插座、接线板等设备。</w:t>
            </w:r>
          </w:p>
        </w:tc>
        <w:tc>
          <w:tcPr>
            <w:tcW w:w="213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trPr>
        <w:tc>
          <w:tcPr>
            <w:tcW w:w="765" w:type="dxa"/>
          </w:tcPr>
          <w:p>
            <w:pPr>
              <w:pStyle w:val="7"/>
              <w:spacing w:before="45" w:line="216" w:lineRule="auto"/>
              <w:jc w:val="both"/>
              <w:rPr>
                <w:rFonts w:ascii="仿宋" w:hAnsi="仿宋" w:eastAsia="仿宋"/>
                <w:spacing w:val="1"/>
                <w:sz w:val="21"/>
                <w:szCs w:val="21"/>
                <w:lang w:eastAsia="zh-CN"/>
              </w:rPr>
            </w:pPr>
          </w:p>
          <w:p>
            <w:pPr>
              <w:pStyle w:val="7"/>
              <w:spacing w:before="45" w:line="216" w:lineRule="auto"/>
              <w:jc w:val="both"/>
              <w:rPr>
                <w:rFonts w:ascii="仿宋" w:hAnsi="仿宋" w:eastAsia="仿宋"/>
                <w:spacing w:val="1"/>
                <w:sz w:val="21"/>
                <w:szCs w:val="21"/>
                <w:lang w:eastAsia="zh-CN"/>
              </w:rPr>
            </w:pPr>
          </w:p>
          <w:p>
            <w:pPr>
              <w:pStyle w:val="7"/>
              <w:spacing w:before="45" w:line="216" w:lineRule="auto"/>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13.4.4</w:t>
            </w:r>
          </w:p>
        </w:tc>
        <w:tc>
          <w:tcPr>
            <w:tcW w:w="346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烘箱、电阻炉等加热设备须制定安全操作规程</w:t>
            </w:r>
          </w:p>
        </w:tc>
        <w:tc>
          <w:tcPr>
            <w:tcW w:w="775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(294)加热设备周边醒目位置张贴高温警示标志，并有必要的防护措施，张贴有安全操作规程、警示标志。</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(295)烘箱等加热设备内不准烘烤易燃易爆试剂及易燃物品。</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(296)不得使用塑料筐等易燃容器盛放实验物品在烘箱等加热设备内烘烤。</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(297)烘箱使用完毕，清理物品、切断电源，确认其冷却至安全温度后方能离开。</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(298)使用电阻炉等明火设备时有人值守。</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(299)使用加热设备时，温度较高的实验须有人值守或有实时监控措施。</w:t>
            </w:r>
          </w:p>
        </w:tc>
        <w:tc>
          <w:tcPr>
            <w:tcW w:w="2130" w:type="dxa"/>
          </w:tcPr>
          <w:p>
            <w:pPr>
              <w:pStyle w:val="7"/>
              <w:spacing w:before="45" w:line="216" w:lineRule="auto"/>
              <w:ind w:left="83"/>
              <w:jc w:val="both"/>
              <w:rPr>
                <w:rFonts w:ascii="仿宋" w:hAnsi="仿宋" w:eastAsia="仿宋"/>
                <w:spacing w:val="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765" w:type="dxa"/>
            <w:vAlign w:val="center"/>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13.4.5</w:t>
            </w:r>
          </w:p>
        </w:tc>
        <w:tc>
          <w:tcPr>
            <w:tcW w:w="3465" w:type="dxa"/>
            <w:vAlign w:val="center"/>
          </w:tcPr>
          <w:p>
            <w:pPr>
              <w:pStyle w:val="7"/>
              <w:spacing w:before="45" w:line="216" w:lineRule="auto"/>
              <w:ind w:left="83"/>
              <w:jc w:val="both"/>
              <w:rPr>
                <w:rFonts w:ascii="仿宋" w:hAnsi="仿宋" w:eastAsia="仿宋"/>
                <w:spacing w:val="1"/>
                <w:sz w:val="21"/>
                <w:szCs w:val="21"/>
                <w:lang w:eastAsia="zh-CN"/>
              </w:rPr>
            </w:pP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使用明火电炉或者电吹风须有安全防范举措</w:t>
            </w:r>
          </w:p>
        </w:tc>
        <w:tc>
          <w:tcPr>
            <w:tcW w:w="7755" w:type="dxa"/>
            <w:vAlign w:val="center"/>
          </w:tcPr>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(300)涉及化学品的实验室不使用明火电炉。如必须使用，须有安全防范措施。</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(301)不使用明火电炉加热易燃易爆试剂。</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(302)明火电炉、电吹风、电热枪等用毕，须及时拔除电源插头。</w:t>
            </w:r>
          </w:p>
          <w:p>
            <w:pPr>
              <w:pStyle w:val="7"/>
              <w:spacing w:before="45" w:line="216" w:lineRule="auto"/>
              <w:ind w:left="83"/>
              <w:jc w:val="both"/>
              <w:rPr>
                <w:rFonts w:ascii="仿宋" w:hAnsi="仿宋" w:eastAsia="仿宋"/>
                <w:spacing w:val="1"/>
                <w:sz w:val="21"/>
                <w:szCs w:val="21"/>
                <w:lang w:eastAsia="zh-CN"/>
              </w:rPr>
            </w:pPr>
            <w:r>
              <w:rPr>
                <w:rFonts w:hint="eastAsia" w:ascii="仿宋" w:hAnsi="仿宋" w:eastAsia="仿宋"/>
                <w:spacing w:val="1"/>
                <w:sz w:val="21"/>
                <w:szCs w:val="21"/>
                <w:lang w:eastAsia="zh-CN"/>
              </w:rPr>
              <w:t>(303)不可用纸质、木质等材料自制红外灯烘箱。</w:t>
            </w:r>
          </w:p>
        </w:tc>
        <w:tc>
          <w:tcPr>
            <w:tcW w:w="2130" w:type="dxa"/>
          </w:tcPr>
          <w:p>
            <w:pPr>
              <w:pStyle w:val="7"/>
              <w:spacing w:before="45" w:line="216" w:lineRule="auto"/>
              <w:ind w:left="83"/>
              <w:jc w:val="both"/>
              <w:rPr>
                <w:rFonts w:ascii="仿宋" w:hAnsi="仿宋" w:eastAsia="仿宋"/>
                <w:spacing w:val="1"/>
                <w:sz w:val="21"/>
                <w:szCs w:val="21"/>
                <w:lang w:eastAsia="zh-CN"/>
              </w:rPr>
            </w:pPr>
          </w:p>
        </w:tc>
      </w:tr>
    </w:tbl>
    <w:p>
      <w:pPr>
        <w:pStyle w:val="7"/>
        <w:jc w:val="both"/>
        <w:rPr>
          <w:rFonts w:ascii="仿宋" w:hAnsi="仿宋" w:eastAsia="仿宋"/>
          <w:spacing w:val="1"/>
          <w:sz w:val="21"/>
          <w:szCs w:val="21"/>
          <w:lang w:eastAsia="zh-CN"/>
        </w:rPr>
      </w:pPr>
    </w:p>
    <w:sectPr>
      <w:footerReference r:id="rId22" w:type="default"/>
      <w:pgSz w:w="16841" w:h="11912"/>
      <w:pgMar w:top="1012" w:right="1889" w:bottom="1664" w:left="1829" w:header="0" w:footer="153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553"/>
      <w:rPr>
        <w:rFonts w:ascii="宋体" w:hAnsi="宋体" w:eastAsia="宋体" w:cs="宋体"/>
        <w:sz w:val="13"/>
        <w:szCs w:val="13"/>
      </w:rPr>
    </w:pPr>
    <w:r>
      <w:rPr>
        <w:rFonts w:ascii="宋体" w:hAnsi="宋体" w:eastAsia="宋体" w:cs="宋体"/>
        <w:sz w:val="13"/>
        <w:szCs w:val="13"/>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455"/>
      <w:rPr>
        <w:rFonts w:ascii="宋体" w:hAnsi="宋体" w:eastAsia="宋体" w:cs="宋体"/>
        <w:sz w:val="13"/>
        <w:szCs w:val="13"/>
      </w:rPr>
    </w:pPr>
    <w:r>
      <w:rPr>
        <w:rFonts w:ascii="宋体" w:hAnsi="宋体" w:eastAsia="宋体" w:cs="宋体"/>
        <w:spacing w:val="-3"/>
        <w:sz w:val="13"/>
        <w:szCs w:val="13"/>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493"/>
      <w:rPr>
        <w:rFonts w:ascii="宋体" w:hAnsi="宋体" w:eastAsia="宋体" w:cs="宋体"/>
        <w:sz w:val="13"/>
        <w:szCs w:val="13"/>
      </w:rPr>
    </w:pPr>
    <w:r>
      <w:rPr>
        <w:rFonts w:ascii="宋体" w:hAnsi="宋体" w:eastAsia="宋体" w:cs="宋体"/>
        <w:spacing w:val="-3"/>
        <w:sz w:val="13"/>
        <w:szCs w:val="13"/>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493"/>
      <w:rPr>
        <w:rFonts w:ascii="宋体" w:hAnsi="宋体" w:eastAsia="宋体" w:cs="宋体"/>
        <w:sz w:val="13"/>
        <w:szCs w:val="13"/>
      </w:rPr>
    </w:pPr>
    <w:r>
      <w:rPr>
        <w:rFonts w:ascii="宋体" w:hAnsi="宋体" w:eastAsia="宋体" w:cs="宋体"/>
        <w:spacing w:val="-3"/>
        <w:sz w:val="13"/>
        <w:szCs w:val="13"/>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473"/>
      <w:rPr>
        <w:rFonts w:ascii="宋体" w:hAnsi="宋体" w:eastAsia="宋体" w:cs="宋体"/>
        <w:sz w:val="12"/>
        <w:szCs w:val="12"/>
      </w:rPr>
    </w:pPr>
    <w:r>
      <w:rPr>
        <w:rFonts w:ascii="宋体" w:hAnsi="宋体" w:eastAsia="宋体" w:cs="宋体"/>
        <w:spacing w:val="-3"/>
        <w:sz w:val="12"/>
        <w:szCs w:val="12"/>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495"/>
      <w:rPr>
        <w:rFonts w:ascii="宋体" w:hAnsi="宋体" w:eastAsia="宋体" w:cs="宋体"/>
        <w:sz w:val="12"/>
        <w:szCs w:val="12"/>
      </w:rPr>
    </w:pPr>
    <w:r>
      <w:rPr>
        <w:rFonts w:ascii="宋体" w:hAnsi="宋体" w:eastAsia="宋体" w:cs="宋体"/>
        <w:spacing w:val="-3"/>
        <w:sz w:val="12"/>
        <w:szCs w:val="12"/>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505"/>
      <w:rPr>
        <w:rFonts w:ascii="宋体" w:hAnsi="宋体" w:eastAsia="宋体" w:cs="宋体"/>
        <w:sz w:val="13"/>
        <w:szCs w:val="13"/>
      </w:rPr>
    </w:pPr>
    <w:r>
      <w:rPr>
        <w:rFonts w:ascii="宋体" w:hAnsi="宋体" w:eastAsia="宋体" w:cs="宋体"/>
        <w:spacing w:val="-3"/>
        <w:sz w:val="13"/>
        <w:szCs w:val="13"/>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505"/>
      <w:rPr>
        <w:rFonts w:ascii="宋体" w:hAnsi="宋体" w:eastAsia="宋体" w:cs="宋体"/>
        <w:sz w:val="13"/>
        <w:szCs w:val="13"/>
      </w:rPr>
    </w:pPr>
    <w:r>
      <w:rPr>
        <w:rFonts w:ascii="宋体" w:hAnsi="宋体" w:eastAsia="宋体" w:cs="宋体"/>
        <w:spacing w:val="-3"/>
        <w:sz w:val="13"/>
        <w:szCs w:val="13"/>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465"/>
      <w:rPr>
        <w:rFonts w:ascii="宋体" w:hAnsi="宋体" w:eastAsia="宋体" w:cs="宋体"/>
        <w:sz w:val="13"/>
        <w:szCs w:val="13"/>
      </w:rPr>
    </w:pPr>
    <w:r>
      <w:rPr>
        <w:rFonts w:ascii="宋体" w:hAnsi="宋体" w:eastAsia="宋体" w:cs="宋体"/>
        <w:spacing w:val="-3"/>
        <w:sz w:val="13"/>
        <w:szCs w:val="13"/>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475"/>
      <w:rPr>
        <w:rFonts w:ascii="宋体" w:hAnsi="宋体" w:eastAsia="宋体" w:cs="宋体"/>
        <w:sz w:val="13"/>
        <w:szCs w:val="13"/>
      </w:rPr>
    </w:pPr>
    <w:r>
      <w:rPr>
        <w:rFonts w:ascii="宋体" w:hAnsi="宋体" w:eastAsia="宋体" w:cs="宋体"/>
        <w:spacing w:val="-1"/>
        <w:sz w:val="13"/>
        <w:szCs w:val="13"/>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545"/>
      <w:rPr>
        <w:rFonts w:ascii="宋体" w:hAnsi="宋体" w:eastAsia="宋体" w:cs="宋体"/>
        <w:sz w:val="13"/>
        <w:szCs w:val="13"/>
      </w:rPr>
    </w:pPr>
    <w:r>
      <w:rPr>
        <w:rFonts w:ascii="宋体" w:hAnsi="宋体" w:eastAsia="宋体" w:cs="宋体"/>
        <w:sz w:val="13"/>
        <w:szCs w:val="13"/>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487"/>
      <w:rPr>
        <w:rFonts w:ascii="宋体" w:hAnsi="宋体" w:eastAsia="宋体" w:cs="宋体"/>
        <w:sz w:val="13"/>
        <w:szCs w:val="13"/>
      </w:rPr>
    </w:pPr>
    <w:r>
      <w:rPr>
        <w:rFonts w:ascii="宋体" w:hAnsi="宋体" w:eastAsia="宋体" w:cs="宋体"/>
        <w:spacing w:val="-1"/>
        <w:sz w:val="13"/>
        <w:szCs w:val="13"/>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558"/>
      <w:rPr>
        <w:rFonts w:ascii="宋体" w:hAnsi="宋体" w:eastAsia="宋体" w:cs="宋体"/>
        <w:sz w:val="13"/>
        <w:szCs w:val="13"/>
      </w:rPr>
    </w:pPr>
    <w:r>
      <w:rPr>
        <w:rFonts w:ascii="宋体" w:hAnsi="宋体" w:eastAsia="宋体" w:cs="宋体"/>
        <w:sz w:val="13"/>
        <w:szCs w:val="13"/>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504"/>
      <w:rPr>
        <w:rFonts w:ascii="宋体" w:hAnsi="宋体" w:eastAsia="宋体" w:cs="宋体"/>
        <w:sz w:val="12"/>
        <w:szCs w:val="12"/>
      </w:rPr>
    </w:pPr>
    <w:r>
      <w:rPr>
        <w:rFonts w:ascii="宋体" w:hAnsi="宋体" w:eastAsia="宋体" w:cs="宋体"/>
        <w:sz w:val="12"/>
        <w:szCs w:val="12"/>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507"/>
      <w:rPr>
        <w:rFonts w:ascii="宋体" w:hAnsi="宋体" w:eastAsia="宋体" w:cs="宋体"/>
        <w:sz w:val="13"/>
        <w:szCs w:val="13"/>
      </w:rPr>
    </w:pPr>
    <w:r>
      <w:rPr>
        <w:rFonts w:ascii="宋体" w:hAnsi="宋体" w:eastAsia="宋体" w:cs="宋体"/>
        <w:sz w:val="13"/>
        <w:szCs w:val="13"/>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496"/>
      <w:rPr>
        <w:rFonts w:ascii="宋体" w:hAnsi="宋体" w:eastAsia="宋体" w:cs="宋体"/>
        <w:sz w:val="12"/>
        <w:szCs w:val="12"/>
      </w:rPr>
    </w:pPr>
    <w:r>
      <w:rPr>
        <w:rFonts w:ascii="宋体" w:hAnsi="宋体" w:eastAsia="宋体" w:cs="宋体"/>
        <w:sz w:val="12"/>
        <w:szCs w:val="12"/>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537"/>
      <w:rPr>
        <w:rFonts w:ascii="宋体" w:hAnsi="宋体" w:eastAsia="宋体" w:cs="宋体"/>
        <w:sz w:val="13"/>
        <w:szCs w:val="13"/>
      </w:rPr>
    </w:pPr>
    <w:r>
      <w:rPr>
        <w:rFonts w:ascii="宋体" w:hAnsi="宋体" w:eastAsia="宋体" w:cs="宋体"/>
        <w:sz w:val="13"/>
        <w:szCs w:val="13"/>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6466"/>
      <w:rPr>
        <w:rFonts w:ascii="宋体" w:hAnsi="宋体" w:eastAsia="宋体" w:cs="宋体"/>
        <w:sz w:val="12"/>
        <w:szCs w:val="12"/>
      </w:rPr>
    </w:pPr>
    <w:r>
      <w:rPr>
        <w:rFonts w:ascii="宋体" w:hAnsi="宋体" w:eastAsia="宋体" w:cs="宋体"/>
        <w:sz w:val="12"/>
        <w:szCs w:val="12"/>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475"/>
      <w:rPr>
        <w:rFonts w:ascii="宋体" w:hAnsi="宋体" w:eastAsia="宋体" w:cs="宋体"/>
        <w:sz w:val="12"/>
        <w:szCs w:val="12"/>
      </w:rPr>
    </w:pPr>
    <w:r>
      <w:rPr>
        <w:rFonts w:ascii="宋体" w:hAnsi="宋体" w:eastAsia="宋体" w:cs="宋体"/>
        <w:spacing w:val="-3"/>
        <w:sz w:val="12"/>
        <w:szCs w:val="12"/>
      </w:rPr>
      <w:t>10</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YTcxMTA2NDEwZTIzZTA0Y2VlN2UxNmEyMDhkNzM3MWYifQ=="/>
    <w:docVar w:name="KSO_WPS_MARK_KEY" w:val="7d836e2f-3673-4f0a-8b7e-2642e968caa8"/>
  </w:docVars>
  <w:rsids>
    <w:rsidRoot w:val="00C4463C"/>
    <w:rsid w:val="000509B1"/>
    <w:rsid w:val="002843FA"/>
    <w:rsid w:val="002D0C5A"/>
    <w:rsid w:val="002D366D"/>
    <w:rsid w:val="00326F10"/>
    <w:rsid w:val="004334A0"/>
    <w:rsid w:val="005E10B0"/>
    <w:rsid w:val="00725C26"/>
    <w:rsid w:val="009A1DCA"/>
    <w:rsid w:val="009C169D"/>
    <w:rsid w:val="009E6427"/>
    <w:rsid w:val="00BA091C"/>
    <w:rsid w:val="00C4463C"/>
    <w:rsid w:val="00C758D6"/>
    <w:rsid w:val="03BD12A4"/>
    <w:rsid w:val="044A04BA"/>
    <w:rsid w:val="06B87250"/>
    <w:rsid w:val="096D497C"/>
    <w:rsid w:val="16564FD6"/>
    <w:rsid w:val="19662315"/>
    <w:rsid w:val="1E1506CD"/>
    <w:rsid w:val="206F7DDC"/>
    <w:rsid w:val="27145003"/>
    <w:rsid w:val="295201CD"/>
    <w:rsid w:val="2C2578CB"/>
    <w:rsid w:val="2F767465"/>
    <w:rsid w:val="40B84DFC"/>
    <w:rsid w:val="4D330192"/>
    <w:rsid w:val="4D8B1D7C"/>
    <w:rsid w:val="510D079C"/>
    <w:rsid w:val="5E0B2941"/>
    <w:rsid w:val="61BD7BD2"/>
    <w:rsid w:val="66560D21"/>
    <w:rsid w:val="68000819"/>
    <w:rsid w:val="684E1122"/>
    <w:rsid w:val="688E7ED0"/>
    <w:rsid w:val="71374A18"/>
    <w:rsid w:val="7417659F"/>
    <w:rsid w:val="78C05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16914</Words>
  <Characters>19171</Characters>
  <Lines>147</Lines>
  <Paragraphs>41</Paragraphs>
  <TotalTime>116</TotalTime>
  <ScaleCrop>false</ScaleCrop>
  <LinksUpToDate>false</LinksUpToDate>
  <CharactersWithSpaces>19297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2024-04-28T10:26:00Z</dcterms:created>
  <dc:creator>Administrator</dc:creator>
  <cp:lastModifiedBy>mikaeryuyu晶</cp:lastModifiedBy>
  <dcterms:modified xsi:type="dcterms:W3CDTF">2025-03-27T01:12:52Z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2024-05-16T16:29:39Z</vt:filetime>
  </property>
  <property fmtid="{D5CDD505-2E9C-101B-9397-08002B2CF9AE}" pid="4" name="KSOProductBuildVer">
    <vt:lpwstr>2052-11.1.0.12165</vt:lpwstr>
  </property>
  <property fmtid="{D5CDD505-2E9C-101B-9397-08002B2CF9AE}" pid="5" name="ICV">
    <vt:lpwstr>71B3BF6CABA040C9B9DD0CDE94C541D3</vt:lpwstr>
  </property>
</Properties>
</file>