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附件4.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eastAsia="zh-CN"/>
        </w:rPr>
        <w:t>20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eastAsia="zh-CN"/>
        </w:rPr>
        <w:t>——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>2022学年本科教学质量报告支撑数据表</w:t>
      </w:r>
    </w:p>
    <w:p>
      <w:pPr>
        <w:jc w:val="both"/>
        <w:rPr>
          <w:rFonts w:ascii="宋体" w:hAnsi="宋体" w:eastAsia="宋体" w:cs="Times New Roman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表1 全校教师数量及结构统计表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2"/>
        <w:gridCol w:w="2888"/>
        <w:gridCol w:w="1391"/>
        <w:gridCol w:w="2544"/>
        <w:gridCol w:w="1456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21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4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21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职称结构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正高级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其中教授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副高级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其中副教授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其中讲师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其中助教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未评级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最高学位结构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无学位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年龄结构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35岁及以下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36-45岁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46-55岁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56岁及以上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0070C0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表2 在校生情况、生师比（全校及分专业）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772"/>
        <w:gridCol w:w="1559"/>
        <w:gridCol w:w="1523"/>
        <w:gridCol w:w="1542"/>
        <w:gridCol w:w="1083"/>
        <w:gridCol w:w="1887"/>
        <w:gridCol w:w="1215"/>
        <w:gridCol w:w="1201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折合在校生数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全日制本科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在校生数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全日制专科生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全日制在校生数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本科生占全日制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在校生比例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专任教师数量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教师数量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生师比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全校整体生师比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表3 分专业专任教师职称、学历结构</w:t>
      </w:r>
    </w:p>
    <w:tbl>
      <w:tblPr>
        <w:tblStyle w:val="3"/>
        <w:tblW w:w="15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27"/>
        <w:gridCol w:w="709"/>
        <w:gridCol w:w="850"/>
        <w:gridCol w:w="633"/>
        <w:gridCol w:w="1045"/>
        <w:gridCol w:w="874"/>
        <w:gridCol w:w="992"/>
        <w:gridCol w:w="992"/>
        <w:gridCol w:w="993"/>
        <w:gridCol w:w="992"/>
        <w:gridCol w:w="992"/>
        <w:gridCol w:w="992"/>
        <w:gridCol w:w="993"/>
        <w:gridCol w:w="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具有正高级职称专任教师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具有副高级职称专任教师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30岁以下（人）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31-35岁（人）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36-40岁（人）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41-45岁（人）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46-50岁（人）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51-55岁（人）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56-60岁（人）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61-65岁（人）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66岁以上（人）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874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0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0070C0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表4  专业设置及调整情况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879"/>
        <w:gridCol w:w="5446"/>
        <w:gridCol w:w="5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本科专业总数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当年本科招生专业总数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新专业名单</w:t>
            </w: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当年停招专业名单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color w:val="0070C0"/>
          <w:sz w:val="21"/>
          <w:szCs w:val="21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表5. 教学经费、教学设施和条件</w:t>
      </w:r>
    </w:p>
    <w:tbl>
      <w:tblPr>
        <w:tblStyle w:val="3"/>
        <w:tblW w:w="136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26"/>
        <w:gridCol w:w="1064"/>
        <w:gridCol w:w="1188"/>
        <w:gridCol w:w="1626"/>
        <w:gridCol w:w="1626"/>
        <w:gridCol w:w="1626"/>
        <w:gridCol w:w="1626"/>
        <w:gridCol w:w="16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生均教学日常运行支出（元）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专项教学经费（万元）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生均本科实验经费（元）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生均本科实习经费（元）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生均教学行政用房面积（平方米）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生均实验室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、实习场所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面积（平方米）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生均教学科研设备值（元）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当年新增教学科研仪器设备值(万元)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南宁理工学院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0070C0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表6 图书资源情况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45"/>
        <w:gridCol w:w="2619"/>
        <w:gridCol w:w="1829"/>
        <w:gridCol w:w="24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4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生均图书（册）</w:t>
            </w:r>
          </w:p>
        </w:tc>
        <w:tc>
          <w:tcPr>
            <w:tcW w:w="18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电子图书、电子期刊（万种）</w:t>
            </w:r>
          </w:p>
        </w:tc>
        <w:tc>
          <w:tcPr>
            <w:tcW w:w="24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电子资源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（GB）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纸质图书（册）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电子图书（册）</w:t>
            </w:r>
          </w:p>
        </w:tc>
        <w:tc>
          <w:tcPr>
            <w:tcW w:w="18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南宁理工学院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表7 各专业实践教学学分及实践场地情况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291"/>
        <w:gridCol w:w="1834"/>
        <w:gridCol w:w="1149"/>
        <w:gridCol w:w="1605"/>
        <w:gridCol w:w="1605"/>
        <w:gridCol w:w="1834"/>
        <w:gridCol w:w="69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实践学分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实践场地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集中性实践环节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实验教学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课外科技活动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实践环节占比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专业实验室数量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实习实训基地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当年接收学生数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全校校均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color w:val="0070C0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0070C0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表8 各专业人才培养方案学时、学分情况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594"/>
        <w:gridCol w:w="1190"/>
        <w:gridCol w:w="1483"/>
        <w:gridCol w:w="1483"/>
        <w:gridCol w:w="1628"/>
        <w:gridCol w:w="1628"/>
        <w:gridCol w:w="975"/>
        <w:gridCol w:w="148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学时数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其中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必修课占比（%）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选修课占比（%）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理论教学占比（%）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实验教学占比（%）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必修课占比（%）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选修课占比（%）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全校校均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表9  分专业本科生毕业率、学位授予率</w:t>
      </w:r>
    </w:p>
    <w:tbl>
      <w:tblPr>
        <w:tblStyle w:val="3"/>
        <w:tblW w:w="137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920"/>
        <w:gridCol w:w="1077"/>
        <w:gridCol w:w="1092"/>
        <w:gridCol w:w="1077"/>
        <w:gridCol w:w="1346"/>
        <w:gridCol w:w="1960"/>
        <w:gridCol w:w="1078"/>
        <w:gridCol w:w="1391"/>
        <w:gridCol w:w="17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毕业审核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通过人数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毕业审核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未通过人数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毕业通过率（%）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学位审核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授予人数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学位审核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未通过人数</w:t>
            </w:r>
          </w:p>
        </w:tc>
        <w:tc>
          <w:tcPr>
            <w:tcW w:w="1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学位通过率（%）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预计毕业学生人数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符合申请学位学生人数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Header/>
        </w:trPr>
        <w:tc>
          <w:tcPr>
            <w:tcW w:w="2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表10 分专业毕业生就业率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682"/>
        <w:gridCol w:w="1187"/>
        <w:gridCol w:w="1786"/>
        <w:gridCol w:w="1484"/>
        <w:gridCol w:w="1489"/>
        <w:gridCol w:w="178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就业率</w:t>
            </w:r>
          </w:p>
        </w:tc>
        <w:tc>
          <w:tcPr>
            <w:tcW w:w="30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协议就业率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升学率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灵活就业率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自主创业比例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境内升学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境外深造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全校整体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</w:t>
      </w:r>
    </w:p>
    <w:p>
      <w:pPr>
        <w:jc w:val="left"/>
        <w:rPr>
          <w:rFonts w:hint="eastAsia" w:ascii="宋体" w:hAnsi="宋体" w:eastAsia="宋体" w:cs="宋体"/>
          <w:bCs/>
          <w:color w:val="000000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其他与本科教学质量相关数据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18"/>
        <w:gridCol w:w="1134"/>
        <w:gridCol w:w="709"/>
        <w:gridCol w:w="2268"/>
        <w:gridCol w:w="1417"/>
        <w:gridCol w:w="1376"/>
        <w:gridCol w:w="1316"/>
        <w:gridCol w:w="2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学生转专业人数比例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校外实习基地数</w:t>
            </w:r>
          </w:p>
        </w:tc>
        <w:tc>
          <w:tcPr>
            <w:tcW w:w="708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交流学生数</w:t>
            </w:r>
          </w:p>
        </w:tc>
        <w:tc>
          <w:tcPr>
            <w:tcW w:w="209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当年学生补考和重修人次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其中：本校到境外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本校到境内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境内到本校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境外到本校</w:t>
            </w:r>
          </w:p>
        </w:tc>
        <w:tc>
          <w:tcPr>
            <w:tcW w:w="209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南宁理工学院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p/>
    <w:sectPr>
      <w:pgSz w:w="16838" w:h="11906" w:orient="landscape"/>
      <w:pgMar w:top="1701" w:right="1474" w:bottom="155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000000"/>
    <w:rsid w:val="09202B8C"/>
    <w:rsid w:val="14041F9B"/>
    <w:rsid w:val="142B4CEC"/>
    <w:rsid w:val="171E28E6"/>
    <w:rsid w:val="1C1B5646"/>
    <w:rsid w:val="263F789C"/>
    <w:rsid w:val="27E57325"/>
    <w:rsid w:val="2A48639C"/>
    <w:rsid w:val="311E4DEC"/>
    <w:rsid w:val="36443918"/>
    <w:rsid w:val="36820D95"/>
    <w:rsid w:val="3EBE2135"/>
    <w:rsid w:val="435D45AB"/>
    <w:rsid w:val="6DDE4086"/>
    <w:rsid w:val="75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fal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2021-11-15T11:54:00Z</dcterms:created>
  <dc:creator>Administrator</dc:creator>
  <cp:lastModifiedBy>鹿</cp:lastModifiedBy>
  <dcterms:modified xsi:type="dcterms:W3CDTF">2022-10-20T03:50:22Z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27D741252A794EB8996B3B8DADA10C35</vt:lpwstr>
  </property>
</Properties>
</file>