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附件2.</w:t>
      </w:r>
    </w:p>
    <w:p>
      <w:pPr>
        <w:spacing w:line="400" w:lineRule="exact"/>
        <w:ind w:left="1505" w:leftChars="286" w:hanging="904" w:hangingChars="3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b/>
          <w:sz w:val="30"/>
          <w:szCs w:val="30"/>
        </w:rPr>
        <w:t>-20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/>
          <w:sz w:val="30"/>
          <w:szCs w:val="30"/>
        </w:rPr>
        <w:t>学年本科教学质量报告支撑数据任务分解表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89"/>
        <w:gridCol w:w="148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任务内容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责任单位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本科生占全日制在校生总数的比例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教师数量及结构（全校及分专业）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专业设置情况（全校本科专业总数、当年本科招生专业总数以及当年新增专业、停招专业名单）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生师比（全校及分专业）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生均教学科研仪器设备值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后勤保卫处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当年新增教学仪器设备值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后勤保卫处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生均图书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图文信息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电子图书、电子期刊种数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图文信息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生均教学行政用房（其中生均实验室面积）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基建处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莫秋玲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生均本科教学日常运行支出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本科专项教学经费（自然年度内学校立项用于本科教学改革和建设的专项经费总额）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生均本科实验经费（自然年度内学校用于实验教学运行、维护经费生均值）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生均本科实习经费（自然年度内学校用于本科培养方案内的实习环节支出经费生均值）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全校开设课程总门数（学年内实际开设的本科培养计划内课程总数，跨学期讲授的同一门课程计1门）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实践教学学分占总学分比例（按学科门类、专业）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选修课学分占总学分比例（按学科门类、专业）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主讲本科课程的教授占教授总数的比例（不含讲座、全校及分专业）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</w:tbl>
    <w:p>
      <w:r>
        <w:br w:type="page"/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89"/>
        <w:gridCol w:w="148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任务内容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责任单位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教授讲授本科课程占课程总门次的比例（一门课程的全部课时均由教授授课，计为1；由多名教师共同承担的，按教授实际承担学时比例计算，全校及分专业）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实践教学及实习实训基地（分专业）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应届本科生毕业率（全校及分专业）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应届本科生学位授予率（全校及分专业）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应届本科生初次就业率（全校及分专业）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招就处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体质测试达标率（全校及分专业）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文理学院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学生学习满意度（调查方法与结果）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用人单位对毕业生满意度（调查方法与结果）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招就处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其他与本科教学质量相关数据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管理处及各部门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说明：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1. </w:t>
      </w:r>
      <w:r>
        <w:rPr>
          <w:rFonts w:hint="eastAsia" w:ascii="仿宋" w:hAnsi="仿宋" w:eastAsia="仿宋"/>
          <w:sz w:val="24"/>
        </w:rPr>
        <w:t>数据的计算方法参照《教育部关于印发&lt;普通高等学校基本办学条件指标（试行）&gt;的通知》教发〔2004〕2号文件。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2.</w:t>
      </w:r>
      <w:r>
        <w:rPr>
          <w:rFonts w:hint="eastAsia" w:ascii="仿宋" w:hAnsi="仿宋" w:eastAsia="仿宋"/>
          <w:sz w:val="24"/>
        </w:rPr>
        <w:t xml:space="preserve"> 财务数据（如经费、工资等）按照自然年度计算，截止到20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年12月31日；教学数据（学生、教师、专业、课程等）按照学年计算，为20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-20</w:t>
      </w:r>
      <w:r>
        <w:rPr>
          <w:rFonts w:hint="eastAsia" w:ascii="仿宋" w:hAnsi="仿宋" w:eastAsia="仿宋"/>
          <w:sz w:val="24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学年。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3.</w:t>
      </w:r>
      <w:r>
        <w:rPr>
          <w:rFonts w:hint="eastAsia" w:ascii="仿宋" w:hAnsi="仿宋" w:eastAsia="仿宋"/>
          <w:sz w:val="24"/>
        </w:rPr>
        <w:t xml:space="preserve"> 第4项数据，分专业生师比=分专业在校本科生数/分专业教师总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数。分专业教师总数=分专业专任教师数+聘请校外教师数*0.5。分专业专任教师指具有教师资格、主要从事本专业教学工作的人员。单名教师最多归属一个专业，参与多专业教学的教师不得在多专业中重复计算。对于按专业类招生或未将教师分到专业的学校专业，分专业生师比暂时按照所在专业类生师比计。专业类生师比=专业类内所有专业在校本科生数/专业类教师总数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4. </w:t>
      </w:r>
      <w:r>
        <w:rPr>
          <w:rFonts w:hint="eastAsia" w:ascii="仿宋" w:hAnsi="仿宋" w:eastAsia="仿宋"/>
          <w:sz w:val="24"/>
        </w:rPr>
        <w:t>第10项指标参照《教育部办公厅关于开展普通高等学校本科教学工作合格评估的通知》教高厅〔2011〕2号文件，是指学校开展普通本科教学活动及其辅助活动发生的支出，仅指教学基本支出中的商品和服务支出（302类）（不含教学专项拨款支出），具体包括：教学教辅部门发生的办公费（含考试考务费、手续费等）、印刷费、咨询费、邮电费、交通费、差旅费、出国费、维修（护）费、租赁费、会议费、培训费、专用材料费（含体育维持费）、劳务费、其他教学商品和服务支出（含学生活动费、教学咨询研究机构会员费、教学改革科研业务费、委托业务费等）。取会计决算数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5.</w:t>
      </w:r>
      <w:r>
        <w:rPr>
          <w:rFonts w:hint="eastAsia" w:ascii="仿宋" w:hAnsi="仿宋" w:eastAsia="仿宋"/>
          <w:sz w:val="24"/>
        </w:rPr>
        <w:t xml:space="preserve"> 分专业名称为教育部正式备案或审批的普通高等学校本科专业名称。</w:t>
      </w:r>
    </w:p>
    <w:p>
      <w:pPr>
        <w:spacing w:line="360" w:lineRule="auto"/>
      </w:pPr>
      <w:r>
        <w:rPr>
          <w:rFonts w:hint="eastAsia" w:ascii="仿宋" w:hAnsi="仿宋" w:eastAsia="仿宋"/>
          <w:b/>
          <w:sz w:val="24"/>
        </w:rPr>
        <w:t xml:space="preserve">6. </w:t>
      </w:r>
      <w:r>
        <w:rPr>
          <w:rFonts w:hint="eastAsia" w:ascii="仿宋" w:hAnsi="仿宋" w:eastAsia="仿宋"/>
          <w:sz w:val="24"/>
        </w:rPr>
        <w:t>第24、25两项数据本次可视本校此项工作基础酌情公布。</w:t>
      </w:r>
      <w:r>
        <w:rPr>
          <w:rFonts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b/>
          <w:sz w:val="24"/>
        </w:rPr>
        <w:t xml:space="preserve">7. </w:t>
      </w:r>
      <w:r>
        <w:rPr>
          <w:rFonts w:hint="eastAsia" w:ascii="仿宋" w:hAnsi="仿宋" w:eastAsia="仿宋"/>
          <w:sz w:val="24"/>
        </w:rPr>
        <w:t>质量报告中的各项数据均保留小数点后两位数字。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000000"/>
    <w:rsid w:val="08182F45"/>
    <w:rsid w:val="6D7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2022-10-18T06:50:00Z</dcterms:created>
  <dc:creator>Administrator</dc:creator>
  <cp:lastModifiedBy>鹿</cp:lastModifiedBy>
  <dcterms:modified xsi:type="dcterms:W3CDTF">2022-10-18T08:04:10Z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6FED12E5F1124AB68713F68AD8CB98AF</vt:lpwstr>
  </property>
</Properties>
</file>