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附件1.</w:t>
      </w:r>
    </w:p>
    <w:p>
      <w:pPr>
        <w:spacing w:line="480" w:lineRule="auto"/>
        <w:ind w:left="1505" w:leftChars="286" w:hanging="904" w:hangingChars="300"/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b/>
          <w:sz w:val="30"/>
          <w:szCs w:val="30"/>
        </w:rPr>
        <w:t>-20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b/>
          <w:sz w:val="30"/>
          <w:szCs w:val="30"/>
        </w:rPr>
        <w:t>学年本科教学质量报告重点内容任务分解表</w:t>
      </w:r>
    </w:p>
    <w:tbl>
      <w:tblPr>
        <w:tblStyle w:val="2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64"/>
        <w:gridCol w:w="4884"/>
        <w:gridCol w:w="1434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标题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任务内容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责任单位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本科教育基本情况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本科人才培养目标及服务面向；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本科专业设置情况；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全日制在校学生情况及本科生所占比例；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本科生源质量情况。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招就处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师资与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教学条件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学校师资队伍数量及结构情况；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生师比；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本科生主讲教师情况；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教授承担本科课程情况；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教学经费投入情况；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行政</w:t>
            </w:r>
            <w:r>
              <w:rPr>
                <w:rFonts w:hint="eastAsia" w:ascii="仿宋" w:hAnsi="仿宋" w:eastAsia="仿宋"/>
                <w:sz w:val="24"/>
              </w:rPr>
              <w:t>用房；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基建办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莫秋玲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图文信息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中心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教学科研仪器设备情况；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后勤保卫处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钟木生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设备、信息资源及其应用情况。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图文信息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中心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三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教学建设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与改革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专业建设；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课程建设；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教材建设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（需推进马工程重点教材统一使用情况）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开设“习近平总书记关于教育的重要论述研究”课程情况。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开设课程门数及选修课程开设情况；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课堂教学规模；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实践教学；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毕业论文（设计）；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学生创新创业教育；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教学改革。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标题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任务内容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责任单位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专业培养能力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line="400" w:lineRule="exact"/>
              <w:ind w:left="360" w:hanging="360" w:hangingChars="15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 各专业培养目标、教学条件、人才培养等情况；</w:t>
            </w:r>
          </w:p>
          <w:p>
            <w:pPr>
              <w:spacing w:line="400" w:lineRule="exact"/>
              <w:ind w:left="360" w:hanging="360" w:hangingChars="15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 人才培养目标定位与社会人才需求适应性、培养方案特点；</w:t>
            </w:r>
          </w:p>
          <w:p>
            <w:pPr>
              <w:spacing w:line="400" w:lineRule="exact"/>
              <w:ind w:left="360" w:hanging="360" w:hangingChars="15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 教授授课情况；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专业培养能力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专任教师数量和结构、生师比；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教学资源；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实践教学及实习实训基地；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专业课程体系建设；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实践教学；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教学经费投入情况；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立德树人落实机制；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学风管理情况；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创新创业教育情况。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学工处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（团委）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李枚晏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五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质量保障体系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学校人才培养中心地位落实情况；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 校领导班子研究本科教学工作情况；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 出台的相关政策措施；</w:t>
            </w:r>
          </w:p>
          <w:p>
            <w:pPr>
              <w:spacing w:line="400" w:lineRule="exact"/>
              <w:ind w:left="360" w:hanging="360" w:hangingChars="15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教学质量保障体系建设、日常监控及运行、规范教学行为情况；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 本科教学基本状态分析；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 开展专业评估、专业认证、国际评估情况。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质量管理与评估中心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周丹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学生学习效果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 学生学习满意度；</w:t>
            </w:r>
          </w:p>
          <w:p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应届本科生毕业情况；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 学位授予情况；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8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攻读研究生情况；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 就业情况；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 社会用人单位对毕业生评价；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 毕业生成就。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招就处</w:t>
            </w:r>
          </w:p>
        </w:tc>
        <w:tc>
          <w:tcPr>
            <w:tcW w:w="1147" w:type="dxa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七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特色发展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学校在本科教育教学工作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中的特色和经验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八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需要解决的问题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针对影响教学质量的突出问题，分析主要原因，提出解决问题的措施及建议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各部门   各单位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各部门、单位负责人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九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案例分析</w:t>
            </w:r>
          </w:p>
        </w:tc>
        <w:tc>
          <w:tcPr>
            <w:tcW w:w="488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案例分析专业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各二级学院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各二级学院负责人</w:t>
            </w:r>
          </w:p>
        </w:tc>
      </w:tr>
    </w:tbl>
    <w:p/>
    <w:sectPr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B5A57"/>
    <w:multiLevelType w:val="multilevel"/>
    <w:tmpl w:val="0FEB5A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74784"/>
    <w:multiLevelType w:val="multilevel"/>
    <w:tmpl w:val="16F7478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49F268D"/>
    <w:multiLevelType w:val="multilevel"/>
    <w:tmpl w:val="249F268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FD43ED"/>
    <w:multiLevelType w:val="multilevel"/>
    <w:tmpl w:val="5FFD43E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000000"/>
    <w:rsid w:val="332576DC"/>
    <w:rsid w:val="542A664C"/>
    <w:rsid w:val="6AE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2022-10-18T06:50:00Z</dcterms:created>
  <dc:creator>Administrator</dc:creator>
  <cp:lastModifiedBy>鹿</cp:lastModifiedBy>
  <dcterms:modified xsi:type="dcterms:W3CDTF">2022-10-20T03:21:26Z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B6DB316CE4524692B072A6153B197D57</vt:lpwstr>
  </property>
</Properties>
</file>