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5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华农珠江</w:t>
      </w:r>
      <w:r>
        <w:rPr>
          <w:rFonts w:hint="eastAsia" w:ascii="仿宋" w:hAnsi="仿宋" w:eastAsia="仿宋" w:cs="仿宋"/>
          <w:sz w:val="32"/>
          <w:szCs w:val="32"/>
          <w:lang w:eastAsia="zh-CN"/>
        </w:rPr>
        <w:t>学</w:t>
      </w:r>
      <w:r>
        <w:rPr>
          <w:rFonts w:hint="eastAsia" w:ascii="仿宋" w:hAnsi="仿宋" w:eastAsia="仿宋" w:cs="仿宋"/>
          <w:sz w:val="32"/>
          <w:szCs w:val="32"/>
        </w:rPr>
        <w:t>字〔20</w:t>
      </w:r>
      <w:r>
        <w:rPr>
          <w:rFonts w:hint="eastAsia" w:ascii="仿宋" w:hAnsi="仿宋" w:eastAsia="仿宋" w:cs="仿宋"/>
          <w:sz w:val="32"/>
          <w:szCs w:val="32"/>
          <w:lang w:val="en-US" w:eastAsia="zh-CN"/>
        </w:rPr>
        <w:t>20</w:t>
      </w:r>
      <w:r>
        <w:rPr>
          <w:rFonts w:hint="eastAsia" w:ascii="仿宋" w:hAnsi="仿宋" w:eastAsia="仿宋" w:cs="仿宋"/>
          <w:sz w:val="32"/>
          <w:szCs w:val="32"/>
        </w:rPr>
        <w:t>〕</w:t>
      </w:r>
      <w:r>
        <w:rPr>
          <w:rFonts w:hint="eastAsia" w:ascii="仿宋" w:hAnsi="仿宋" w:eastAsia="仿宋" w:cs="仿宋"/>
          <w:sz w:val="32"/>
          <w:szCs w:val="32"/>
          <w:lang w:val="en-US" w:eastAsia="zh-CN"/>
        </w:rPr>
        <w:t>17</w:t>
      </w:r>
      <w:r>
        <w:rPr>
          <w:rFonts w:hint="eastAsia" w:ascii="仿宋" w:hAnsi="仿宋" w:eastAsia="仿宋" w:cs="仿宋"/>
          <w:sz w:val="32"/>
          <w:szCs w:val="32"/>
        </w:rPr>
        <w:t>号</w:t>
      </w:r>
    </w:p>
    <w:p>
      <w:pPr>
        <w:keepNext w:val="0"/>
        <w:keepLines w:val="0"/>
        <w:pageBreakBefore w:val="0"/>
        <w:widowControl/>
        <w:kinsoku/>
        <w:wordWrap/>
        <w:overflowPunct/>
        <w:topLinePunct w:val="0"/>
        <w:autoSpaceDE/>
        <w:autoSpaceDN/>
        <w:bidi w:val="0"/>
        <w:adjustRightInd/>
        <w:snapToGrid/>
        <w:spacing w:line="550" w:lineRule="exact"/>
        <w:jc w:val="center"/>
        <w:textAlignment w:val="auto"/>
        <w:rPr>
          <w:rFonts w:hint="eastAsia" w:ascii="仿宋" w:hAnsi="仿宋" w:eastAsia="仿宋" w:cs="仿宋"/>
          <w:sz w:val="32"/>
          <w:szCs w:val="32"/>
        </w:rPr>
      </w:pPr>
    </w:p>
    <w:p>
      <w:pPr>
        <w:keepNext w:val="0"/>
        <w:keepLines w:val="0"/>
        <w:pageBreakBefore w:val="0"/>
        <w:widowControl/>
        <w:kinsoku/>
        <w:wordWrap/>
        <w:overflowPunct/>
        <w:topLinePunct w:val="0"/>
        <w:autoSpaceDE/>
        <w:autoSpaceDN/>
        <w:bidi w:val="0"/>
        <w:adjustRightInd/>
        <w:snapToGrid/>
        <w:spacing w:line="550" w:lineRule="exact"/>
        <w:jc w:val="center"/>
        <w:textAlignment w:val="auto"/>
        <w:rPr>
          <w:rFonts w:hint="eastAsia" w:ascii="仿宋" w:hAnsi="仿宋" w:eastAsia="仿宋" w:cs="仿宋"/>
          <w:sz w:val="32"/>
          <w:szCs w:val="32"/>
        </w:rPr>
      </w:pPr>
    </w:p>
    <w:p>
      <w:pPr>
        <w:keepNext w:val="0"/>
        <w:keepLines w:val="0"/>
        <w:pageBreakBefore w:val="0"/>
        <w:widowControl/>
        <w:kinsoku/>
        <w:wordWrap/>
        <w:overflowPunct/>
        <w:topLinePunct w:val="0"/>
        <w:autoSpaceDE/>
        <w:autoSpaceDN/>
        <w:bidi w:val="0"/>
        <w:adjustRightInd/>
        <w:snapToGrid/>
        <w:spacing w:line="550" w:lineRule="exact"/>
        <w:jc w:val="center"/>
        <w:textAlignment w:val="auto"/>
        <w:rPr>
          <w:rFonts w:hint="eastAsia" w:ascii="宋体" w:hAnsi="宋体" w:eastAsia="宋体" w:cs="宋体"/>
          <w:b/>
          <w:bCs w:val="0"/>
          <w:kern w:val="0"/>
          <w:sz w:val="44"/>
          <w:szCs w:val="44"/>
        </w:rPr>
      </w:pPr>
      <w:r>
        <w:rPr>
          <w:rFonts w:hint="eastAsia" w:ascii="宋体" w:hAnsi="宋体" w:eastAsia="宋体" w:cs="宋体"/>
          <w:b/>
          <w:bCs w:val="0"/>
          <w:kern w:val="0"/>
          <w:sz w:val="44"/>
          <w:szCs w:val="44"/>
        </w:rPr>
        <w:t>关于评选20</w:t>
      </w:r>
      <w:r>
        <w:rPr>
          <w:rFonts w:hint="eastAsia" w:ascii="宋体" w:hAnsi="宋体" w:eastAsia="宋体" w:cs="宋体"/>
          <w:b/>
          <w:bCs w:val="0"/>
          <w:kern w:val="0"/>
          <w:sz w:val="44"/>
          <w:szCs w:val="44"/>
          <w:lang w:val="en-US" w:eastAsia="zh-CN"/>
        </w:rPr>
        <w:t>19</w:t>
      </w:r>
      <w:r>
        <w:rPr>
          <w:rFonts w:hint="eastAsia" w:ascii="宋体" w:hAnsi="宋体" w:eastAsia="宋体" w:cs="宋体"/>
          <w:b/>
          <w:bCs w:val="0"/>
          <w:kern w:val="0"/>
          <w:sz w:val="44"/>
          <w:szCs w:val="44"/>
        </w:rPr>
        <w:t>-20</w:t>
      </w:r>
      <w:r>
        <w:rPr>
          <w:rFonts w:hint="eastAsia" w:ascii="宋体" w:hAnsi="宋体" w:eastAsia="宋体" w:cs="宋体"/>
          <w:b/>
          <w:bCs w:val="0"/>
          <w:kern w:val="0"/>
          <w:sz w:val="44"/>
          <w:szCs w:val="44"/>
          <w:lang w:val="en-US" w:eastAsia="zh-CN"/>
        </w:rPr>
        <w:t>20</w:t>
      </w:r>
      <w:r>
        <w:rPr>
          <w:rFonts w:hint="eastAsia" w:ascii="宋体" w:hAnsi="宋体" w:eastAsia="宋体" w:cs="宋体"/>
          <w:b/>
          <w:bCs w:val="0"/>
          <w:kern w:val="0"/>
          <w:sz w:val="44"/>
          <w:szCs w:val="44"/>
        </w:rPr>
        <w:t>学年度</w:t>
      </w:r>
    </w:p>
    <w:p>
      <w:pPr>
        <w:keepNext w:val="0"/>
        <w:keepLines w:val="0"/>
        <w:pageBreakBefore w:val="0"/>
        <w:widowControl/>
        <w:kinsoku/>
        <w:wordWrap/>
        <w:overflowPunct/>
        <w:topLinePunct w:val="0"/>
        <w:autoSpaceDE/>
        <w:autoSpaceDN/>
        <w:bidi w:val="0"/>
        <w:adjustRightInd/>
        <w:snapToGrid/>
        <w:spacing w:line="550" w:lineRule="exact"/>
        <w:jc w:val="center"/>
        <w:textAlignment w:val="auto"/>
        <w:rPr>
          <w:rFonts w:hint="eastAsia" w:ascii="宋体" w:hAnsi="宋体" w:eastAsia="宋体" w:cs="宋体"/>
          <w:b/>
          <w:bCs w:val="0"/>
          <w:kern w:val="0"/>
          <w:sz w:val="44"/>
          <w:szCs w:val="44"/>
        </w:rPr>
      </w:pPr>
      <w:r>
        <w:rPr>
          <w:rFonts w:hint="eastAsia" w:ascii="宋体" w:hAnsi="宋体" w:eastAsia="宋体" w:cs="宋体"/>
          <w:b/>
          <w:bCs w:val="0"/>
          <w:kern w:val="0"/>
          <w:sz w:val="44"/>
          <w:szCs w:val="44"/>
        </w:rPr>
        <w:t>优秀心理委员的通知</w:t>
      </w:r>
    </w:p>
    <w:p>
      <w:pPr>
        <w:keepNext w:val="0"/>
        <w:keepLines w:val="0"/>
        <w:pageBreakBefore w:val="0"/>
        <w:kinsoku/>
        <w:wordWrap/>
        <w:overflowPunct/>
        <w:topLinePunct w:val="0"/>
        <w:autoSpaceDE/>
        <w:autoSpaceDN/>
        <w:bidi w:val="0"/>
        <w:adjustRightInd/>
        <w:snapToGrid/>
        <w:spacing w:line="550" w:lineRule="exact"/>
        <w:textAlignment w:val="auto"/>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完善我校大学生心理健康教育工作，提升我校学生心理健康教育和服务工作水平，激发班级心理委员开展大学生心理健康教育活动的积极性，充分发挥“朋辈导师”的作用，经研究决定，对过去一年来在学生心理健康教育工作方面作出突出贡献的心理委员进行评选表彰。</w:t>
      </w:r>
    </w:p>
    <w:p>
      <w:pPr>
        <w:keepNext w:val="0"/>
        <w:keepLines w:val="0"/>
        <w:pageBreakBefore w:val="0"/>
        <w:kinsoku/>
        <w:wordWrap/>
        <w:overflowPunct/>
        <w:topLinePunct w:val="0"/>
        <w:autoSpaceDE/>
        <w:autoSpaceDN/>
        <w:bidi w:val="0"/>
        <w:adjustRightInd/>
        <w:snapToGrid/>
        <w:spacing w:line="550" w:lineRule="exact"/>
        <w:ind w:firstLine="643" w:firstLineChars="200"/>
        <w:jc w:val="left"/>
        <w:textAlignment w:val="auto"/>
        <w:rPr>
          <w:rFonts w:hint="eastAsia" w:ascii="仿宋" w:hAnsi="仿宋" w:eastAsia="仿宋" w:cs="仿宋"/>
          <w:b/>
          <w:bCs/>
          <w:kern w:val="0"/>
          <w:sz w:val="32"/>
          <w:szCs w:val="32"/>
        </w:rPr>
      </w:pPr>
      <w:r>
        <w:rPr>
          <w:rFonts w:hint="eastAsia" w:ascii="仿宋" w:hAnsi="仿宋" w:eastAsia="仿宋" w:cs="仿宋"/>
          <w:b/>
          <w:bCs/>
          <w:kern w:val="0"/>
          <w:sz w:val="32"/>
          <w:szCs w:val="32"/>
        </w:rPr>
        <w:t>一、参评对象及条件</w:t>
      </w:r>
    </w:p>
    <w:p>
      <w:pPr>
        <w:keepNext w:val="0"/>
        <w:keepLines w:val="0"/>
        <w:pageBreakBefore w:val="0"/>
        <w:kinsoku/>
        <w:wordWrap/>
        <w:overflowPunct/>
        <w:topLinePunct w:val="0"/>
        <w:autoSpaceDE/>
        <w:autoSpaceDN/>
        <w:bidi w:val="0"/>
        <w:adjustRightInd/>
        <w:snapToGrid/>
        <w:spacing w:line="550" w:lineRule="exact"/>
        <w:ind w:firstLine="643" w:firstLineChars="200"/>
        <w:jc w:val="left"/>
        <w:textAlignment w:val="auto"/>
        <w:rPr>
          <w:rFonts w:hint="eastAsia" w:ascii="仿宋" w:hAnsi="仿宋" w:eastAsia="仿宋" w:cs="仿宋"/>
          <w:b/>
          <w:bCs w:val="0"/>
          <w:kern w:val="0"/>
          <w:sz w:val="32"/>
          <w:szCs w:val="32"/>
        </w:rPr>
      </w:pPr>
      <w:r>
        <w:rPr>
          <w:rFonts w:hint="eastAsia" w:ascii="仿宋" w:hAnsi="仿宋" w:eastAsia="仿宋" w:cs="仿宋"/>
          <w:b/>
          <w:bCs w:val="0"/>
          <w:kern w:val="0"/>
          <w:sz w:val="32"/>
          <w:szCs w:val="32"/>
        </w:rPr>
        <w:t>（一）参评对象</w:t>
      </w:r>
    </w:p>
    <w:p>
      <w:pPr>
        <w:keepNext w:val="0"/>
        <w:keepLines w:val="0"/>
        <w:pageBreakBefore w:val="0"/>
        <w:widowControl/>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1.班级心理委员</w:t>
      </w:r>
    </w:p>
    <w:p>
      <w:pPr>
        <w:keepNext w:val="0"/>
        <w:keepLines w:val="0"/>
        <w:pageBreakBefore w:val="0"/>
        <w:widowControl/>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2.校心晴工作团队、各学院二级心理辅导站成员</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jc w:val="left"/>
        <w:textAlignment w:val="auto"/>
        <w:rPr>
          <w:rFonts w:hint="eastAsia" w:ascii="仿宋" w:hAnsi="仿宋" w:eastAsia="仿宋" w:cs="仿宋"/>
          <w:b/>
          <w:bCs w:val="0"/>
          <w:kern w:val="0"/>
          <w:sz w:val="32"/>
          <w:szCs w:val="32"/>
        </w:rPr>
      </w:pPr>
      <w:r>
        <w:rPr>
          <w:rFonts w:hint="eastAsia" w:ascii="仿宋" w:hAnsi="仿宋" w:eastAsia="仿宋" w:cs="仿宋"/>
          <w:b/>
          <w:bCs w:val="0"/>
          <w:kern w:val="0"/>
          <w:sz w:val="32"/>
          <w:szCs w:val="32"/>
        </w:rPr>
        <w:t>（二）参评条件</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sectPr>
          <w:footerReference r:id="rId3" w:type="default"/>
          <w:pgSz w:w="11906" w:h="16838"/>
          <w:pgMar w:top="5272" w:right="1531" w:bottom="2098" w:left="1531" w:header="851" w:footer="992" w:gutter="0"/>
          <w:pgNumType w:fmt="numberInDash"/>
          <w:cols w:space="0" w:num="1"/>
          <w:rtlGutter w:val="0"/>
          <w:docGrid w:type="lines" w:linePitch="316" w:charSpace="0"/>
        </w:sectPr>
      </w:pPr>
      <w:r>
        <w:rPr>
          <w:rFonts w:hint="eastAsia" w:ascii="仿宋" w:hAnsi="仿宋" w:eastAsia="仿宋" w:cs="仿宋"/>
          <w:sz w:val="32"/>
          <w:szCs w:val="32"/>
        </w:rPr>
        <w:t>1.遵守《普通高等学校学生管理规定》、《高等学校学生行为</w:t>
      </w:r>
    </w:p>
    <w:p>
      <w:pPr>
        <w:keepNext w:val="0"/>
        <w:keepLines w:val="0"/>
        <w:pageBreakBefore w:val="0"/>
        <w:widowControl w:val="0"/>
        <w:kinsoku/>
        <w:wordWrap/>
        <w:overflowPunct/>
        <w:topLinePunct w:val="0"/>
        <w:autoSpaceDE/>
        <w:autoSpaceDN/>
        <w:bidi w:val="0"/>
        <w:adjustRightInd/>
        <w:snapToGrid/>
        <w:spacing w:line="550" w:lineRule="exact"/>
        <w:jc w:val="left"/>
        <w:textAlignment w:val="auto"/>
        <w:rPr>
          <w:rFonts w:hint="eastAsia" w:ascii="仿宋" w:hAnsi="仿宋" w:eastAsia="仿宋" w:cs="仿宋"/>
          <w:sz w:val="32"/>
          <w:szCs w:val="32"/>
        </w:rPr>
      </w:pPr>
      <w:r>
        <w:rPr>
          <w:rFonts w:hint="eastAsia" w:ascii="仿宋" w:hAnsi="仿宋" w:eastAsia="仿宋" w:cs="仿宋"/>
          <w:sz w:val="32"/>
          <w:szCs w:val="32"/>
        </w:rPr>
        <w:t>准则》及学校各项规章制度，无任何违纪记录；</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2.接受过心理委员</w:t>
      </w:r>
      <w:r>
        <w:rPr>
          <w:rFonts w:hint="eastAsia" w:ascii="仿宋" w:hAnsi="仿宋" w:eastAsia="仿宋" w:cs="仿宋"/>
          <w:sz w:val="32"/>
          <w:szCs w:val="32"/>
          <w:lang w:eastAsia="zh-CN"/>
        </w:rPr>
        <w:t>工作</w:t>
      </w:r>
      <w:r>
        <w:rPr>
          <w:rFonts w:hint="eastAsia" w:ascii="仿宋" w:hAnsi="仿宋" w:eastAsia="仿宋" w:cs="仿宋"/>
          <w:sz w:val="32"/>
          <w:szCs w:val="32"/>
        </w:rPr>
        <w:t>培训，掌握本班的基本信息，积极关注周围同学的变化，并按要求上交有关工作记录；</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3.采取多种形式宣传心理知识，主动开展班级心理活动；</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4.密切配合学</w:t>
      </w:r>
      <w:r>
        <w:rPr>
          <w:rFonts w:hint="eastAsia" w:ascii="仿宋" w:hAnsi="仿宋" w:eastAsia="仿宋" w:cs="仿宋"/>
          <w:sz w:val="32"/>
          <w:szCs w:val="32"/>
          <w:lang w:eastAsia="zh-CN"/>
        </w:rPr>
        <w:t>校</w:t>
      </w:r>
      <w:r>
        <w:rPr>
          <w:rFonts w:hint="eastAsia" w:ascii="仿宋" w:hAnsi="仿宋" w:eastAsia="仿宋" w:cs="仿宋"/>
          <w:sz w:val="32"/>
          <w:szCs w:val="32"/>
        </w:rPr>
        <w:t>心理健康教育中心做好各项工作，团结带领本班同学，积极参加学</w:t>
      </w:r>
      <w:r>
        <w:rPr>
          <w:rFonts w:hint="eastAsia" w:ascii="仿宋" w:hAnsi="仿宋" w:eastAsia="仿宋" w:cs="仿宋"/>
          <w:sz w:val="32"/>
          <w:szCs w:val="32"/>
          <w:lang w:eastAsia="zh-CN"/>
        </w:rPr>
        <w:t>校</w:t>
      </w:r>
      <w:r>
        <w:rPr>
          <w:rFonts w:hint="eastAsia" w:ascii="仿宋" w:hAnsi="仿宋" w:eastAsia="仿宋" w:cs="仿宋"/>
          <w:sz w:val="32"/>
          <w:szCs w:val="32"/>
        </w:rPr>
        <w:t>心理健康教育中心举办的心理健康教育与宣传活动；</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5.优先考虑在任期间至少组织过两次以上心理健康主题班会或其他心理活动，有相关活动记录者。</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jc w:val="left"/>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二、评选办法</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（一）评选采取自荐和推荐相结合的申报办法，经本人申请</w:t>
      </w:r>
      <w:r>
        <w:rPr>
          <w:rFonts w:hint="eastAsia" w:ascii="仿宋" w:hAnsi="仿宋" w:eastAsia="仿宋" w:cs="仿宋"/>
          <w:sz w:val="32"/>
          <w:szCs w:val="32"/>
          <w:lang w:eastAsia="zh-CN"/>
        </w:rPr>
        <w:t>，</w:t>
      </w:r>
      <w:r>
        <w:rPr>
          <w:rFonts w:hint="eastAsia" w:ascii="仿宋" w:hAnsi="仿宋" w:eastAsia="仿宋" w:cs="仿宋"/>
          <w:sz w:val="32"/>
          <w:szCs w:val="32"/>
        </w:rPr>
        <w:t>各二级学院按照所在学院班级数15%推荐优秀心理委员，报学校心理健康教育中心统一评选。</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（二）由学校心理健康教育中心对上报材料进行审核，确定最终表彰名单，对评选出的“优秀心理委员”颁发证书，并公开表彰。</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jc w:val="left"/>
        <w:textAlignment w:val="auto"/>
        <w:rPr>
          <w:rFonts w:hint="eastAsia" w:ascii="仿宋" w:hAnsi="仿宋" w:eastAsia="仿宋" w:cs="仿宋"/>
          <w:b/>
          <w:bCs/>
          <w:kern w:val="0"/>
          <w:sz w:val="32"/>
          <w:szCs w:val="32"/>
        </w:rPr>
      </w:pPr>
      <w:r>
        <w:rPr>
          <w:rFonts w:hint="eastAsia" w:ascii="仿宋" w:hAnsi="仿宋" w:eastAsia="仿宋" w:cs="仿宋"/>
          <w:b/>
          <w:bCs/>
          <w:kern w:val="0"/>
          <w:sz w:val="32"/>
          <w:szCs w:val="32"/>
        </w:rPr>
        <w:t>三、参评材料报送</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jc w:val="left"/>
        <w:textAlignment w:val="auto"/>
        <w:rPr>
          <w:rFonts w:hint="eastAsia" w:ascii="仿宋" w:hAnsi="仿宋" w:eastAsia="仿宋" w:cs="仿宋"/>
          <w:b/>
          <w:kern w:val="0"/>
          <w:sz w:val="32"/>
          <w:szCs w:val="32"/>
        </w:rPr>
      </w:pPr>
      <w:r>
        <w:rPr>
          <w:rFonts w:hint="eastAsia" w:ascii="仿宋" w:hAnsi="仿宋" w:eastAsia="仿宋" w:cs="仿宋"/>
          <w:b/>
          <w:bCs w:val="0"/>
          <w:kern w:val="0"/>
          <w:sz w:val="32"/>
          <w:szCs w:val="32"/>
        </w:rPr>
        <w:t>（一）参评材料</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1.优秀心理委员申报表；</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2.获奖及培训证明材料；</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3.相关工作原始记录复印件。</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jc w:val="left"/>
        <w:textAlignment w:val="auto"/>
        <w:rPr>
          <w:rFonts w:hint="eastAsia" w:ascii="仿宋" w:hAnsi="仿宋" w:eastAsia="仿宋" w:cs="仿宋"/>
          <w:b w:val="0"/>
          <w:bCs/>
          <w:kern w:val="0"/>
          <w:sz w:val="32"/>
          <w:szCs w:val="32"/>
        </w:rPr>
      </w:pPr>
      <w:r>
        <w:rPr>
          <w:rFonts w:hint="eastAsia" w:ascii="仿宋" w:hAnsi="仿宋" w:eastAsia="仿宋" w:cs="仿宋"/>
          <w:b/>
          <w:bCs w:val="0"/>
          <w:kern w:val="0"/>
          <w:sz w:val="32"/>
          <w:szCs w:val="32"/>
        </w:rPr>
        <w:t>（二）报送方式</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以学院为单位，纸质版所有文字材料加盖学院</w:t>
      </w:r>
      <w:r>
        <w:rPr>
          <w:rFonts w:hint="eastAsia" w:ascii="仿宋" w:hAnsi="仿宋" w:eastAsia="仿宋" w:cs="仿宋"/>
          <w:sz w:val="32"/>
          <w:szCs w:val="32"/>
          <w:lang w:eastAsia="zh-CN"/>
        </w:rPr>
        <w:t>公</w:t>
      </w:r>
      <w:r>
        <w:rPr>
          <w:rFonts w:hint="eastAsia" w:ascii="仿宋" w:hAnsi="仿宋" w:eastAsia="仿宋" w:cs="仿宋"/>
          <w:sz w:val="32"/>
          <w:szCs w:val="32"/>
        </w:rPr>
        <w:t>章交至学校心理健康教育中心。</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jc w:val="left"/>
        <w:textAlignment w:val="auto"/>
        <w:rPr>
          <w:rFonts w:hint="eastAsia" w:ascii="仿宋" w:hAnsi="仿宋" w:eastAsia="仿宋" w:cs="仿宋"/>
          <w:b/>
          <w:kern w:val="0"/>
          <w:sz w:val="32"/>
          <w:szCs w:val="32"/>
        </w:rPr>
      </w:pPr>
      <w:r>
        <w:rPr>
          <w:rFonts w:hint="eastAsia" w:ascii="仿宋" w:hAnsi="仿宋" w:eastAsia="仿宋" w:cs="仿宋"/>
          <w:b/>
          <w:bCs w:val="0"/>
          <w:kern w:val="0"/>
          <w:sz w:val="32"/>
          <w:szCs w:val="32"/>
        </w:rPr>
        <w:t>（三）评选时间</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11月2</w:t>
      </w:r>
      <w:r>
        <w:rPr>
          <w:rFonts w:hint="eastAsia" w:ascii="仿宋" w:hAnsi="仿宋" w:eastAsia="仿宋" w:cs="仿宋"/>
          <w:sz w:val="32"/>
          <w:szCs w:val="32"/>
          <w:lang w:val="en-US" w:eastAsia="zh-CN"/>
        </w:rPr>
        <w:t>0</w:t>
      </w:r>
      <w:r>
        <w:rPr>
          <w:rFonts w:hint="eastAsia" w:ascii="仿宋" w:hAnsi="仿宋" w:eastAsia="仿宋" w:cs="仿宋"/>
          <w:sz w:val="32"/>
          <w:szCs w:val="32"/>
        </w:rPr>
        <w:t>日—</w:t>
      </w:r>
      <w:r>
        <w:rPr>
          <w:rFonts w:hint="eastAsia" w:ascii="仿宋" w:hAnsi="仿宋" w:eastAsia="仿宋" w:cs="仿宋"/>
          <w:sz w:val="32"/>
          <w:szCs w:val="32"/>
          <w:lang w:val="en-US" w:eastAsia="zh-CN"/>
        </w:rPr>
        <w:t>11月</w:t>
      </w:r>
      <w:r>
        <w:rPr>
          <w:rFonts w:hint="eastAsia" w:ascii="仿宋" w:hAnsi="仿宋" w:eastAsia="仿宋" w:cs="仿宋"/>
          <w:sz w:val="32"/>
          <w:szCs w:val="32"/>
        </w:rPr>
        <w:t>2</w:t>
      </w:r>
      <w:r>
        <w:rPr>
          <w:rFonts w:hint="eastAsia" w:ascii="仿宋" w:hAnsi="仿宋" w:eastAsia="仿宋" w:cs="仿宋"/>
          <w:sz w:val="32"/>
          <w:szCs w:val="32"/>
          <w:lang w:val="en-US" w:eastAsia="zh-CN"/>
        </w:rPr>
        <w:t>7</w:t>
      </w:r>
      <w:r>
        <w:rPr>
          <w:rFonts w:hint="eastAsia" w:ascii="仿宋" w:hAnsi="仿宋" w:eastAsia="仿宋" w:cs="仿宋"/>
          <w:sz w:val="32"/>
          <w:szCs w:val="32"/>
        </w:rPr>
        <w:t>日由参评心理委员提交申报表，各学院组织评选工作；</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12月2日前各学院</w:t>
      </w:r>
      <w:r>
        <w:rPr>
          <w:rFonts w:hint="eastAsia" w:ascii="仿宋" w:hAnsi="仿宋" w:eastAsia="仿宋" w:cs="仿宋"/>
          <w:sz w:val="32"/>
          <w:szCs w:val="32"/>
          <w:lang w:eastAsia="zh-CN"/>
        </w:rPr>
        <w:t>将</w:t>
      </w:r>
      <w:r>
        <w:rPr>
          <w:rFonts w:hint="eastAsia" w:ascii="仿宋" w:hAnsi="仿宋" w:eastAsia="仿宋" w:cs="仿宋"/>
          <w:sz w:val="32"/>
          <w:szCs w:val="32"/>
        </w:rPr>
        <w:t>汇总</w:t>
      </w:r>
      <w:r>
        <w:rPr>
          <w:rFonts w:hint="eastAsia" w:ascii="仿宋" w:hAnsi="仿宋" w:eastAsia="仿宋" w:cs="仿宋"/>
          <w:sz w:val="32"/>
          <w:szCs w:val="32"/>
          <w:lang w:eastAsia="zh-CN"/>
        </w:rPr>
        <w:t>的</w:t>
      </w:r>
      <w:r>
        <w:rPr>
          <w:rFonts w:hint="eastAsia" w:ascii="仿宋" w:hAnsi="仿宋" w:eastAsia="仿宋" w:cs="仿宋"/>
          <w:sz w:val="32"/>
          <w:szCs w:val="32"/>
        </w:rPr>
        <w:t>《优秀心理委员申报表》</w:t>
      </w:r>
      <w:r>
        <w:rPr>
          <w:rFonts w:hint="eastAsia" w:ascii="仿宋" w:hAnsi="仿宋" w:eastAsia="仿宋" w:cs="仿宋"/>
          <w:sz w:val="32"/>
          <w:szCs w:val="32"/>
          <w:lang w:eastAsia="zh-CN"/>
        </w:rPr>
        <w:t>送至</w:t>
      </w:r>
      <w:r>
        <w:rPr>
          <w:rFonts w:hint="eastAsia" w:ascii="仿宋" w:hAnsi="仿宋" w:eastAsia="仿宋" w:cs="仿宋"/>
          <w:sz w:val="32"/>
          <w:szCs w:val="32"/>
        </w:rPr>
        <w:t>学校心理健康教育中心。</w:t>
      </w:r>
    </w:p>
    <w:p>
      <w:pPr>
        <w:keepNext w:val="0"/>
        <w:keepLines w:val="0"/>
        <w:pageBreakBefore w:val="0"/>
        <w:widowControl w:val="0"/>
        <w:kinsoku/>
        <w:wordWrap/>
        <w:overflowPunct/>
        <w:topLinePunct w:val="0"/>
        <w:autoSpaceDE/>
        <w:autoSpaceDN/>
        <w:bidi w:val="0"/>
        <w:adjustRightInd/>
        <w:snapToGrid/>
        <w:spacing w:line="550" w:lineRule="exact"/>
        <w:jc w:val="left"/>
        <w:textAlignment w:val="auto"/>
        <w:rPr>
          <w:rFonts w:hint="eastAsia" w:ascii="仿宋" w:hAnsi="仿宋" w:eastAsia="仿宋" w:cs="仿宋"/>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附件：华南农业大学珠江学院优秀心理委员申报表</w:t>
      </w:r>
    </w:p>
    <w:p>
      <w:pPr>
        <w:keepNext w:val="0"/>
        <w:keepLines w:val="0"/>
        <w:pageBreakBefore w:val="0"/>
        <w:widowControl/>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p>
    <w:p>
      <w:pPr>
        <w:keepNext w:val="0"/>
        <w:keepLines w:val="0"/>
        <w:pageBreakBefore w:val="0"/>
        <w:widowControl/>
        <w:kinsoku/>
        <w:wordWrap/>
        <w:overflowPunct/>
        <w:topLinePunct w:val="0"/>
        <w:autoSpaceDE/>
        <w:autoSpaceDN/>
        <w:bidi w:val="0"/>
        <w:adjustRightInd/>
        <w:snapToGrid/>
        <w:spacing w:line="550" w:lineRule="exact"/>
        <w:ind w:firstLine="640" w:firstLineChars="200"/>
        <w:jc w:val="left"/>
        <w:textAlignment w:val="auto"/>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50" w:lineRule="exact"/>
        <w:jc w:val="right"/>
        <w:textAlignment w:val="auto"/>
        <w:rPr>
          <w:rFonts w:hint="eastAsia" w:ascii="仿宋" w:hAnsi="仿宋" w:eastAsia="仿宋" w:cs="仿宋"/>
          <w:sz w:val="32"/>
          <w:szCs w:val="32"/>
        </w:rPr>
      </w:pPr>
      <w:r>
        <w:rPr>
          <w:rFonts w:hint="eastAsia" w:ascii="仿宋" w:hAnsi="仿宋" w:eastAsia="仿宋" w:cs="仿宋"/>
          <w:sz w:val="32"/>
          <w:szCs w:val="32"/>
        </w:rPr>
        <w:t xml:space="preserve">华南农业大学珠江学院                                  </w:t>
      </w:r>
    </w:p>
    <w:p>
      <w:pPr>
        <w:keepNext w:val="0"/>
        <w:keepLines w:val="0"/>
        <w:pageBreakBefore w:val="0"/>
        <w:kinsoku/>
        <w:wordWrap/>
        <w:overflowPunct/>
        <w:topLinePunct w:val="0"/>
        <w:autoSpaceDE/>
        <w:autoSpaceDN/>
        <w:bidi w:val="0"/>
        <w:adjustRightInd/>
        <w:snapToGrid/>
        <w:spacing w:line="550" w:lineRule="exact"/>
        <w:jc w:val="center"/>
        <w:textAlignment w:val="auto"/>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年11月</w:t>
      </w:r>
      <w:r>
        <w:rPr>
          <w:rFonts w:hint="eastAsia" w:ascii="仿宋" w:hAnsi="仿宋" w:eastAsia="仿宋" w:cs="仿宋"/>
          <w:sz w:val="32"/>
          <w:szCs w:val="32"/>
          <w:lang w:val="en-US" w:eastAsia="zh-CN"/>
        </w:rPr>
        <w:t>19</w:t>
      </w:r>
      <w:r>
        <w:rPr>
          <w:rFonts w:hint="eastAsia" w:ascii="仿宋" w:hAnsi="仿宋" w:eastAsia="仿宋" w:cs="仿宋"/>
          <w:sz w:val="32"/>
          <w:szCs w:val="32"/>
        </w:rPr>
        <w:t>日</w:t>
      </w:r>
    </w:p>
    <w:sectPr>
      <w:pgSz w:w="11906" w:h="16838"/>
      <w:pgMar w:top="2098" w:right="1531" w:bottom="2098" w:left="1531" w:header="851" w:footer="992" w:gutter="0"/>
      <w:paperSrc/>
      <w:pgNumType w:fmt="numberInDash"/>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等线"/>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等线"/>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F92BF7"/>
    <w:rsid w:val="04AC3904"/>
    <w:rsid w:val="13C6111C"/>
    <w:rsid w:val="147A1B15"/>
    <w:rsid w:val="24B85A0E"/>
    <w:rsid w:val="26FE6AB2"/>
    <w:rsid w:val="3156264A"/>
    <w:rsid w:val="32AB60A4"/>
    <w:rsid w:val="366209CF"/>
    <w:rsid w:val="37884797"/>
    <w:rsid w:val="474C07EF"/>
    <w:rsid w:val="4C665F44"/>
    <w:rsid w:val="6B9D6E6B"/>
    <w:rsid w:val="79CA4730"/>
    <w:rsid w:val="7AE71E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32</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2020-11-19T01:29:26Z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