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华农珠江学字〔201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32"/>
          <w:szCs w:val="32"/>
        </w:rPr>
        <w:t>〕1号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both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关于举办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第九届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华南农业大学珠江学院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大学生职业规划大赛的通知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textAlignment w:val="auto"/>
        <w:rPr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二级学院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为深入贯彻习近平新时代中国特色社会主义思想和党的十九大精神，全面贯彻落实全国教育大会精神，提高大学生职业素养与能力，促进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校毕业生更加充分与更高质量的就业创业，根据《教育部关于做好2019届全国普通高等学校毕业生就业创业工作的通知》（教学〔2018〕8号）要求，现定于2019年3月～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月举办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第九届</w:t>
      </w:r>
      <w:r>
        <w:rPr>
          <w:rFonts w:hint="eastAsia" w:ascii="仿宋" w:hAnsi="仿宋" w:eastAsia="仿宋" w:cs="仿宋"/>
          <w:sz w:val="32"/>
          <w:szCs w:val="32"/>
        </w:rPr>
        <w:t>华南农业大学珠江学院大学生职业规划大赛。现就有关事项通知如下。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一、大赛主题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5556" w:right="1531" w:bottom="2098" w:left="1531" w:header="851" w:footer="1587" w:gutter="0"/>
          <w:paperSrc/>
          <w:pgNumType w:fmt="numberInDash" w:start="1"/>
          <w:cols w:space="0" w:num="1"/>
          <w:titlePg/>
          <w:rtlGutter w:val="0"/>
          <w:docGrid w:type="lines" w:linePitch="328" w:charSpace="0"/>
        </w:sect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规划生涯，点亮梦想。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二、大赛目的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校内</w:t>
      </w:r>
      <w:r>
        <w:rPr>
          <w:rFonts w:hint="eastAsia" w:ascii="仿宋" w:hAnsi="仿宋" w:eastAsia="仿宋" w:cs="仿宋"/>
          <w:sz w:val="32"/>
          <w:szCs w:val="32"/>
        </w:rPr>
        <w:t>比赛的形式，传播和普及职业规划理念，引领和示范职业规划实践，提升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我校学生</w:t>
      </w:r>
      <w:r>
        <w:rPr>
          <w:rFonts w:hint="eastAsia" w:ascii="仿宋" w:hAnsi="仿宋" w:eastAsia="仿宋" w:cs="仿宋"/>
          <w:sz w:val="32"/>
          <w:szCs w:val="32"/>
        </w:rPr>
        <w:t>职业素养与能力，唤醒学业生涯管理与就业自助意识，从而进一步促进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校毕业生就业创业工作的深入开展，实现毕业生更高质量和更加充分的就业创业。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三、组织架构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活动设组委会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组委会办公室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（一）组委会：</w:t>
      </w:r>
      <w:r>
        <w:rPr>
          <w:rFonts w:hint="eastAsia" w:ascii="仿宋" w:hAnsi="仿宋" w:eastAsia="仿宋" w:cs="仿宋"/>
          <w:sz w:val="32"/>
          <w:szCs w:val="32"/>
        </w:rPr>
        <w:t>负责大赛统筹与领导工作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组委会主任：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何建平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组委会副主任：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简妮娜、刘志勤、孙太清、陈启义、郭本立、史春笑、陈军、刘鑫、李振康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组委会委员：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林小慧、朱丽敏、钟彩英、蔡辞、袭科、王日清、周玲军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（二）组委会办公室：</w:t>
      </w:r>
      <w:r>
        <w:rPr>
          <w:rFonts w:hint="eastAsia" w:ascii="仿宋" w:hAnsi="仿宋" w:eastAsia="仿宋" w:cs="仿宋"/>
          <w:sz w:val="32"/>
          <w:szCs w:val="32"/>
        </w:rPr>
        <w:t>负责大赛的执行、宣传、组织、沟通、协调、推进等日常工作。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组委会办公室主任：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简妮娜、刘志勤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组委会办公室副主任：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林小慧、朱丽敏、钟彩英、蔡辞、袭科、王日清、周玲军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办公室成员：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邓克、肖欣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参赛对象为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华南农业大学珠江学院</w:t>
      </w:r>
      <w:r>
        <w:rPr>
          <w:rFonts w:hint="eastAsia" w:ascii="仿宋" w:hAnsi="仿宋" w:eastAsia="仿宋" w:cs="仿宋"/>
          <w:sz w:val="32"/>
          <w:szCs w:val="32"/>
        </w:rPr>
        <w:t>在校生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，我校往届大学生职业规划大赛获奖的学生不得再报名参赛。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五、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赛程安排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（一）参赛报名（4月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b/>
          <w:sz w:val="32"/>
          <w:szCs w:val="32"/>
        </w:rPr>
        <w:t>日前）</w:t>
      </w:r>
      <w:r>
        <w:rPr>
          <w:rFonts w:hint="eastAsia" w:ascii="仿宋" w:hAnsi="仿宋" w:eastAsia="仿宋" w:cs="仿宋"/>
          <w:sz w:val="32"/>
          <w:szCs w:val="32"/>
        </w:rPr>
        <w:t>参赛学生可通过大赛公众号“大学生就业在线”“大学生就业指导”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或网站“大学生就业在线”（www.gradjob.com.cn）报名参赛。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（报名流程参照附件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参赛学生需根据报名系统的提示完善信息并提交相关材料。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(同时提交纸质版材料到各二级学院负责人处，由负责人连同二级学院汇总参赛学生名单统计表（附件1）交到21栋大学生职业发展中心，详情可备注申请加入第九届职规赛咨询群：728201386）。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报名截止时间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2019年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17日。</w:t>
      </w:r>
    </w:p>
    <w:p>
      <w:pPr>
        <w:spacing w:after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201295</wp:posOffset>
            </wp:positionV>
            <wp:extent cx="1417955" cy="1824355"/>
            <wp:effectExtent l="0" t="0" r="10795" b="4445"/>
            <wp:wrapTight wrapText="bothSides">
              <wp:wrapPolygon>
                <wp:start x="0" y="0"/>
                <wp:lineTo x="0" y="21427"/>
                <wp:lineTo x="21184" y="21427"/>
                <wp:lineTo x="21184" y="0"/>
                <wp:lineTo x="0" y="0"/>
              </wp:wrapPolygon>
            </wp:wrapTight>
            <wp:docPr id="1" name="图片 2" descr="90f90037b2445bd23bd0a40ee4b81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90f90037b2445bd23bd0a40ee4b81b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18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56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56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开展职业生涯规划教育系列活动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（暂定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4月3日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1.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由资深的职业规划课导师开展职业规划讲座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2.职业生涯目标分享会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（三）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校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赛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：决赛时间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1.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网络评选：由大赛组委会进行书面作品评分及筛选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2.校内决赛：推选出得分较高的前10名进入校内决赛，通过</w:t>
      </w:r>
      <w:r>
        <w:rPr>
          <w:rFonts w:hint="eastAsia" w:ascii="仿宋" w:hAnsi="仿宋" w:eastAsia="仿宋" w:cs="仿宋"/>
          <w:sz w:val="32"/>
          <w:szCs w:val="32"/>
        </w:rPr>
        <w:t>现场PPT展示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的参赛形式</w:t>
      </w:r>
      <w:r>
        <w:rPr>
          <w:rFonts w:hint="eastAsia" w:ascii="仿宋" w:hAnsi="仿宋" w:eastAsia="仿宋" w:cs="仿宋"/>
          <w:sz w:val="32"/>
          <w:szCs w:val="32"/>
        </w:rPr>
        <w:t>评出相应奖项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（四）推荐进入省赛（4月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日前）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校赛前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推荐参加省初赛。推荐进入省初赛的选手，需在规定时间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4月22日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上传完整的职业生涯规划书，作为参加省初赛的作品材料。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、评比规则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比赛</w:t>
      </w:r>
      <w:r>
        <w:rPr>
          <w:rFonts w:hint="eastAsia" w:ascii="仿宋" w:hAnsi="仿宋" w:eastAsia="仿宋" w:cs="仿宋"/>
          <w:sz w:val="32"/>
          <w:szCs w:val="32"/>
        </w:rPr>
        <w:t>包含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个竞赛环节：书面作品评比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现场PPT展示。以上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个环节所占的分值比例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两个</w:t>
      </w:r>
      <w:r>
        <w:rPr>
          <w:rFonts w:hint="eastAsia" w:ascii="仿宋" w:hAnsi="仿宋" w:eastAsia="仿宋" w:cs="仿宋"/>
          <w:sz w:val="32"/>
          <w:szCs w:val="32"/>
        </w:rPr>
        <w:t>环节得分总和为选手最终成绩，据此评出相应奖项。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（一）书面作品要求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大赛作品以近期目标规划为主，即大学学业生涯规划和毕业后3年内的职业生涯规划。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书面作品需包含自我认知、职业认知、目标确立、计划实施与反馈修正5个方面的完整内容。其中：自我认知部分，不指定职业测评系统，推荐使用教育部全国学生信息咨询与就业指导中心的学职平台（http://xz.chsi.com.cn）；职业认知部分，除作品中简述概况外，选手需另附《职业探索报告》；目标确定部分，需运用科学的决策方法予以合理定位；计划实施部分，应突出大学期间专业知识学习、职业技能提高的方案设计及可行性分析，并注重对各种资源（如知识资源、人脉资源、资金资源等）的积累方式和途径；反馈修正部分，应有合理的备选方案、分析及实施计划。封面应清楚填写参赛者的姓名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院系</w:t>
      </w:r>
      <w:r>
        <w:rPr>
          <w:rFonts w:hint="eastAsia" w:ascii="仿宋" w:hAnsi="仿宋" w:eastAsia="仿宋" w:cs="仿宋"/>
          <w:sz w:val="32"/>
          <w:szCs w:val="32"/>
        </w:rPr>
        <w:t>、班级、联系方式等个人信息。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（二）现场PPT展示环节要求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PPT展示主要考察选手的规划思路、验证方法及对目标职业的理解程度。该环节每位选手限时10分钟，其中，展示限时7分钟，另余3分钟回答评委提问。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、奖项设置</w:t>
      </w:r>
    </w:p>
    <w:tbl>
      <w:tblPr>
        <w:tblStyle w:val="4"/>
        <w:tblW w:w="8783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59"/>
        <w:gridCol w:w="1176"/>
        <w:gridCol w:w="2268"/>
        <w:gridCol w:w="273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5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ascii="微软雅黑" w:hAnsi="微软雅黑" w:eastAsia="微软雅黑"/>
                <w:b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b/>
                <w:sz w:val="20"/>
                <w:szCs w:val="20"/>
              </w:rPr>
              <w:t>类别</w:t>
            </w:r>
          </w:p>
        </w:tc>
        <w:tc>
          <w:tcPr>
            <w:tcW w:w="1659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ascii="微软雅黑" w:hAnsi="微软雅黑" w:eastAsia="微软雅黑"/>
                <w:b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b/>
                <w:sz w:val="20"/>
                <w:szCs w:val="20"/>
              </w:rPr>
              <w:t>奖项</w:t>
            </w:r>
          </w:p>
        </w:tc>
        <w:tc>
          <w:tcPr>
            <w:tcW w:w="1176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ascii="微软雅黑" w:hAnsi="微软雅黑" w:eastAsia="微软雅黑"/>
                <w:b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b/>
                <w:sz w:val="20"/>
                <w:szCs w:val="20"/>
              </w:rPr>
              <w:t>各组名额</w:t>
            </w:r>
          </w:p>
        </w:tc>
        <w:tc>
          <w:tcPr>
            <w:tcW w:w="2268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ascii="微软雅黑" w:hAnsi="微软雅黑" w:eastAsia="微软雅黑"/>
                <w:b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b/>
                <w:sz w:val="20"/>
                <w:szCs w:val="20"/>
              </w:rPr>
              <w:t>奖励方式</w:t>
            </w:r>
          </w:p>
        </w:tc>
        <w:tc>
          <w:tcPr>
            <w:tcW w:w="2735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ascii="微软雅黑" w:hAnsi="微软雅黑" w:eastAsia="微软雅黑"/>
                <w:b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5" w:type="dxa"/>
            <w:vMerge w:val="restart"/>
            <w:tcBorders>
              <w:top w:val="single" w:color="auto" w:sz="12" w:space="0"/>
            </w:tcBorders>
            <w:shd w:val="clear" w:color="auto" w:fill="D9D9D9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eastAsia" w:ascii="微软雅黑" w:hAnsi="微软雅黑" w:eastAsia="微软雅黑"/>
                <w:sz w:val="20"/>
                <w:szCs w:val="20"/>
                <w:shd w:val="clear" w:color="FFFFFF" w:fill="D9D9D9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shd w:val="clear" w:color="FFFFFF" w:fill="D9D9D9"/>
              </w:rPr>
              <w:t>校赛</w:t>
            </w:r>
            <w:r>
              <w:rPr>
                <w:rFonts w:hint="eastAsia" w:ascii="微软雅黑" w:hAnsi="微软雅黑" w:eastAsia="微软雅黑"/>
                <w:sz w:val="20"/>
                <w:szCs w:val="20"/>
                <w:shd w:val="clear" w:color="FFFFFF" w:fill="D9D9D9"/>
                <w:lang w:eastAsia="zh-CN"/>
              </w:rPr>
              <w:t>（由学校颁发奖项）</w:t>
            </w:r>
          </w:p>
        </w:tc>
        <w:tc>
          <w:tcPr>
            <w:tcW w:w="1659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sz w:val="20"/>
                <w:szCs w:val="20"/>
                <w:shd w:val="clear" w:color="auto" w:fill="auto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shd w:val="clear" w:color="auto" w:fill="auto"/>
                <w:lang w:eastAsia="zh-CN"/>
              </w:rPr>
              <w:t>一等奖</w:t>
            </w:r>
          </w:p>
        </w:tc>
        <w:tc>
          <w:tcPr>
            <w:tcW w:w="117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sz w:val="20"/>
                <w:szCs w:val="20"/>
                <w:shd w:val="clear" w:color="auto" w:fill="auto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shd w:val="clear" w:color="auto" w:fill="auto"/>
                <w:lang w:eastAsia="zh-CN"/>
              </w:rPr>
              <w:t>1名</w:t>
            </w:r>
          </w:p>
        </w:tc>
        <w:tc>
          <w:tcPr>
            <w:tcW w:w="2268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sz w:val="20"/>
                <w:szCs w:val="20"/>
                <w:shd w:val="clear" w:color="auto" w:fill="auto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shd w:val="clear" w:color="auto" w:fill="auto"/>
                <w:lang w:val="en-US" w:eastAsia="zh-CN"/>
              </w:rPr>
              <w:t>500</w:t>
            </w:r>
            <w:r>
              <w:rPr>
                <w:rFonts w:hint="eastAsia" w:ascii="微软雅黑" w:hAnsi="微软雅黑" w:eastAsia="微软雅黑"/>
                <w:sz w:val="20"/>
                <w:szCs w:val="20"/>
                <w:shd w:val="clear" w:color="auto" w:fill="auto"/>
                <w:lang w:eastAsia="zh-CN"/>
              </w:rPr>
              <w:t>元/名 + 校级证书</w:t>
            </w:r>
          </w:p>
        </w:tc>
        <w:tc>
          <w:tcPr>
            <w:tcW w:w="2735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sz w:val="20"/>
                <w:szCs w:val="20"/>
                <w:shd w:val="clear" w:color="FFFFFF" w:fill="D9D9D9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  <w:t>二等奖</w:t>
            </w:r>
          </w:p>
        </w:tc>
        <w:tc>
          <w:tcPr>
            <w:tcW w:w="1176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名</w:t>
            </w:r>
          </w:p>
        </w:tc>
        <w:tc>
          <w:tcPr>
            <w:tcW w:w="2268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hint="default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元/名 +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校级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证书</w:t>
            </w:r>
          </w:p>
        </w:tc>
        <w:tc>
          <w:tcPr>
            <w:tcW w:w="2735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  <w:t>三等奖</w:t>
            </w:r>
          </w:p>
        </w:tc>
        <w:tc>
          <w:tcPr>
            <w:tcW w:w="1176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名</w:t>
            </w:r>
          </w:p>
        </w:tc>
        <w:tc>
          <w:tcPr>
            <w:tcW w:w="2268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hint="default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校级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证书</w:t>
            </w:r>
          </w:p>
        </w:tc>
        <w:tc>
          <w:tcPr>
            <w:tcW w:w="2735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45" w:type="dxa"/>
            <w:vMerge w:val="continue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eastAsia"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  <w:t>优秀学院组织奖</w:t>
            </w:r>
          </w:p>
        </w:tc>
        <w:tc>
          <w:tcPr>
            <w:tcW w:w="1176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1名</w:t>
            </w:r>
          </w:p>
        </w:tc>
        <w:tc>
          <w:tcPr>
            <w:tcW w:w="2268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hint="default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800元+牌匾</w:t>
            </w:r>
          </w:p>
        </w:tc>
        <w:tc>
          <w:tcPr>
            <w:tcW w:w="2735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5" w:type="dxa"/>
            <w:vMerge w:val="restart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eastAsia" w:ascii="微软雅黑" w:hAnsi="微软雅黑" w:eastAsia="微软雅黑"/>
                <w:color w:val="7F7F7F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省赛</w:t>
            </w: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  <w:lang w:eastAsia="zh-CN"/>
              </w:rPr>
              <w:t>（由省里颁发奖项）</w:t>
            </w:r>
          </w:p>
        </w:tc>
        <w:tc>
          <w:tcPr>
            <w:tcW w:w="165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特等奖</w:t>
            </w:r>
          </w:p>
        </w:tc>
        <w:tc>
          <w:tcPr>
            <w:tcW w:w="117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1名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10000元/名 + 证书</w:t>
            </w:r>
          </w:p>
        </w:tc>
        <w:tc>
          <w:tcPr>
            <w:tcW w:w="273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同时授予本组“职业规划之星总冠军”称号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一等奖</w:t>
            </w:r>
          </w:p>
        </w:tc>
        <w:tc>
          <w:tcPr>
            <w:tcW w:w="117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9名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7000元/名 + 证书</w:t>
            </w:r>
          </w:p>
        </w:tc>
        <w:tc>
          <w:tcPr>
            <w:tcW w:w="273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同时授予本组“十佳职业规划之星”称号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二等奖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15名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4000元/名 + 证书</w:t>
            </w:r>
          </w:p>
        </w:tc>
        <w:tc>
          <w:tcPr>
            <w:tcW w:w="2735" w:type="dxa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三等奖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25名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2000元/名 + 证书</w:t>
            </w:r>
          </w:p>
        </w:tc>
        <w:tc>
          <w:tcPr>
            <w:tcW w:w="2735" w:type="dxa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优胜奖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若干名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color w:val="7F7F7F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证书</w:t>
            </w:r>
          </w:p>
        </w:tc>
        <w:tc>
          <w:tcPr>
            <w:tcW w:w="2735" w:type="dxa"/>
            <w:noWrap w:val="0"/>
            <w:vAlign w:val="center"/>
          </w:tcPr>
          <w:p>
            <w:pPr>
              <w:spacing w:after="0" w:line="300" w:lineRule="exact"/>
              <w:rPr>
                <w:rFonts w:hint="eastAsia" w:ascii="微软雅黑" w:hAnsi="微软雅黑" w:eastAsia="微软雅黑"/>
                <w:color w:val="7F7F7F"/>
                <w:sz w:val="20"/>
                <w:szCs w:val="20"/>
                <w:highlight w:val="yellow"/>
              </w:rPr>
            </w:pP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获得者为进入省初赛且</w:t>
            </w:r>
            <w:r>
              <w:rPr>
                <w:rFonts w:ascii="微软雅黑" w:hAnsi="微软雅黑" w:eastAsia="微软雅黑"/>
                <w:color w:val="7F7F7F"/>
                <w:sz w:val="20"/>
                <w:szCs w:val="20"/>
              </w:rPr>
              <w:t>符合要求</w:t>
            </w:r>
            <w:r>
              <w:rPr>
                <w:rFonts w:hint="eastAsia" w:ascii="微软雅黑" w:hAnsi="微软雅黑" w:eastAsia="微软雅黑"/>
                <w:color w:val="7F7F7F"/>
                <w:sz w:val="20"/>
                <w:szCs w:val="20"/>
              </w:rPr>
              <w:t>的</w:t>
            </w:r>
            <w:r>
              <w:rPr>
                <w:rFonts w:ascii="微软雅黑" w:hAnsi="微软雅黑" w:eastAsia="微软雅黑"/>
                <w:color w:val="7F7F7F"/>
                <w:sz w:val="20"/>
                <w:szCs w:val="20"/>
              </w:rPr>
              <w:t>选手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>
            <w:pPr>
              <w:spacing w:after="0" w:line="300" w:lineRule="exact"/>
              <w:rPr>
                <w:rFonts w:ascii="微软雅黑" w:hAnsi="微软雅黑" w:eastAsia="微软雅黑"/>
                <w:sz w:val="20"/>
                <w:szCs w:val="20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  <w:t>优秀</w:t>
            </w:r>
            <w:r>
              <w:rPr>
                <w:rFonts w:ascii="微软雅黑" w:hAnsi="微软雅黑" w:eastAsia="微软雅黑"/>
                <w:color w:val="7E7E7E"/>
                <w:sz w:val="20"/>
                <w:szCs w:val="20"/>
              </w:rPr>
              <w:t>指导老师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  <w:t>20名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  <w:t>2000元/名 + 证书</w:t>
            </w:r>
          </w:p>
        </w:tc>
        <w:tc>
          <w:tcPr>
            <w:tcW w:w="2735" w:type="dxa"/>
            <w:noWrap w:val="0"/>
            <w:vAlign w:val="center"/>
          </w:tcPr>
          <w:p>
            <w:pPr>
              <w:spacing w:after="0" w:line="300" w:lineRule="exact"/>
              <w:jc w:val="left"/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  <w:t>优秀指导老师为</w:t>
            </w:r>
            <w:r>
              <w:rPr>
                <w:rFonts w:hint="eastAsia" w:ascii="微软雅黑" w:hAnsi="微软雅黑" w:eastAsia="微软雅黑"/>
                <w:color w:val="7E7E7E"/>
                <w:sz w:val="20"/>
                <w:szCs w:val="20"/>
                <w:lang w:eastAsia="zh-CN"/>
              </w:rPr>
              <w:t>本科</w:t>
            </w:r>
            <w:r>
              <w:rPr>
                <w:rFonts w:hint="eastAsia" w:ascii="微软雅黑" w:hAnsi="微软雅黑" w:eastAsia="微软雅黑"/>
                <w:color w:val="7E7E7E"/>
                <w:sz w:val="20"/>
                <w:szCs w:val="20"/>
              </w:rPr>
              <w:t>组十佳选手的指导老师。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工作要求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二级学院</w:t>
      </w:r>
      <w:r>
        <w:rPr>
          <w:rFonts w:hint="eastAsia" w:ascii="仿宋" w:hAnsi="仿宋" w:eastAsia="仿宋" w:cs="仿宋"/>
          <w:sz w:val="32"/>
          <w:szCs w:val="32"/>
        </w:rPr>
        <w:t>要认真做好大赛的宣传动员和组织工作。以大赛为抓手，积极鼓励学生报名参赛，尤其是鼓励职业目标为参军入伍、参加国家基层就业项目，到重点地区、重大工程、重大项目、重要领域就业以及到国际组织实习任职的学生参赛，并为参赛学生提供必要的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、联系与咨询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大学生职业发展中心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邓克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肖欣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电话：020-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87976885</w:t>
      </w:r>
      <w:r>
        <w:rPr>
          <w:rFonts w:hint="eastAsia" w:ascii="仿宋" w:hAnsi="仿宋" w:eastAsia="仿宋" w:cs="仿宋"/>
          <w:sz w:val="32"/>
          <w:szCs w:val="32"/>
        </w:rPr>
        <w:t>，020-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87976730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附件：1.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二级学院汇总参赛学生名单统计表。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ind w:left="1916" w:leftChars="760" w:hanging="320" w:hangingChars="1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第九届</w:t>
      </w:r>
      <w:r>
        <w:rPr>
          <w:rFonts w:hint="eastAsia" w:ascii="仿宋" w:hAnsi="仿宋" w:eastAsia="仿宋" w:cs="仿宋"/>
          <w:sz w:val="32"/>
          <w:szCs w:val="32"/>
        </w:rPr>
        <w:t>华南农业大学珠江学院大学生职业规划大赛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报名流程。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学生工作部（处）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50" w:lineRule="exact"/>
        <w:jc w:val="center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2019年3月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2098" w:right="1531" w:bottom="2098" w:left="1531" w:header="851" w:footer="1587" w:gutter="0"/>
      <w:pgNumType w:fmt="numberInDash"/>
      <w:cols w:space="0" w:num="1"/>
      <w:titlePg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- 3 -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- 3 -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0AB16EE"/>
    <w:rsid w:val="11D81CA7"/>
    <w:rsid w:val="1A290914"/>
    <w:rsid w:val="1A9446E2"/>
    <w:rsid w:val="1AB12497"/>
    <w:rsid w:val="27081EE7"/>
    <w:rsid w:val="270D753C"/>
    <w:rsid w:val="294F1442"/>
    <w:rsid w:val="2CA01792"/>
    <w:rsid w:val="2EF65416"/>
    <w:rsid w:val="34F57800"/>
    <w:rsid w:val="474C07EF"/>
    <w:rsid w:val="47E1582C"/>
    <w:rsid w:val="49703050"/>
    <w:rsid w:val="4E477E1B"/>
    <w:rsid w:val="549B2B37"/>
    <w:rsid w:val="57C92AB5"/>
    <w:rsid w:val="5DEE5530"/>
    <w:rsid w:val="68244079"/>
    <w:rsid w:val="6BF51B39"/>
    <w:rsid w:val="719250F3"/>
    <w:rsid w:val="743A1F6B"/>
    <w:rsid w:val="767C6191"/>
    <w:rsid w:val="77AA2FE2"/>
    <w:rsid w:val="78614C27"/>
    <w:rsid w:val="78C5072A"/>
    <w:rsid w:val="79CA4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sophiayang</cp:lastModifiedBy>
  <cp:lastPrinted>2019-03-28T08:04:43Z</cp:lastPrinted>
  <dcterms:modified xsi:type="dcterms:W3CDTF">2019-03-28T08:08:33Z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