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</w:rPr>
      </w:pPr>
      <w:bookmarkStart w:id="0" w:name="_GoBack"/>
      <w:bookmarkEnd w:id="0"/>
      <w:r>
        <w:rPr>
          <w:rFonts w:hint="eastAsia" w:ascii="Calibri" w:hAnsi="Calibri" w:eastAsia="宋体" w:cs="Times New Roman"/>
          <w:b/>
        </w:rPr>
        <w:t>附件</w:t>
      </w:r>
      <w:r>
        <w:rPr>
          <w:b/>
        </w:rPr>
        <w:t>1</w:t>
      </w:r>
    </w:p>
    <w:p>
      <w:pPr>
        <w:jc w:val="center"/>
        <w:rPr>
          <w:b/>
          <w:sz w:val="30"/>
          <w:szCs w:val="30"/>
        </w:rPr>
      </w:pPr>
      <w:r>
        <w:rPr>
          <w:rFonts w:hint="eastAsia" w:ascii="Calibri" w:hAnsi="Calibri" w:eastAsia="宋体" w:cs="Times New Roman"/>
          <w:b/>
          <w:sz w:val="30"/>
          <w:szCs w:val="30"/>
        </w:rPr>
        <w:t>华南农业大学珠江学院消防、治安综合治理量化考评表</w:t>
      </w:r>
    </w:p>
    <w:p>
      <w:pPr>
        <w:jc w:val="center"/>
        <w:rPr>
          <w:rFonts w:ascii="Calibri" w:hAnsi="Calibri" w:eastAsia="宋体" w:cs="Times New Roman"/>
          <w:b/>
          <w:sz w:val="30"/>
          <w:szCs w:val="30"/>
        </w:rPr>
      </w:pPr>
      <w:r>
        <w:rPr>
          <w:rFonts w:hint="eastAsia" w:ascii="Calibri" w:hAnsi="Calibri" w:eastAsia="宋体" w:cs="Times New Roman"/>
        </w:rPr>
        <w:t>部门：</w:t>
      </w:r>
      <w:r>
        <w:rPr>
          <w:rFonts w:ascii="Calibri" w:hAnsi="Calibri" w:eastAsia="宋体" w:cs="Times New Roman"/>
        </w:rPr>
        <w:t xml:space="preserve">                 </w:t>
      </w:r>
      <w:r>
        <w:rPr>
          <w:rFonts w:hint="eastAsia" w:ascii="Calibri" w:hAnsi="Calibri" w:eastAsia="宋体" w:cs="Times New Roman"/>
        </w:rPr>
        <w:t>总分：</w:t>
      </w:r>
      <w:r>
        <w:rPr>
          <w:rFonts w:ascii="Calibri" w:hAnsi="Calibri" w:eastAsia="宋体" w:cs="Times New Roman"/>
        </w:rPr>
        <w:t xml:space="preserve">        </w:t>
      </w:r>
      <w:r>
        <w:rPr>
          <w:rFonts w:hint="eastAsia" w:ascii="Calibri" w:hAnsi="Calibri" w:eastAsia="宋体" w:cs="Times New Roman"/>
        </w:rPr>
        <w:t>责任人签名：</w:t>
      </w:r>
      <w:r>
        <w:rPr>
          <w:rFonts w:ascii="Calibri" w:hAnsi="Calibri" w:eastAsia="宋体" w:cs="Times New Roman"/>
        </w:rPr>
        <w:t xml:space="preserve">                </w:t>
      </w:r>
      <w:r>
        <w:rPr>
          <w:rFonts w:hint="eastAsia" w:ascii="Calibri" w:hAnsi="Calibri" w:eastAsia="宋体" w:cs="Times New Roman"/>
        </w:rPr>
        <w:t>年</w:t>
      </w:r>
      <w:r>
        <w:rPr>
          <w:rFonts w:ascii="Calibri" w:hAnsi="Calibri" w:eastAsia="宋体" w:cs="Times New Roman"/>
        </w:rPr>
        <w:t xml:space="preserve">     </w:t>
      </w:r>
      <w:r>
        <w:rPr>
          <w:rFonts w:hint="eastAsia" w:ascii="Calibri" w:hAnsi="Calibri" w:eastAsia="宋体" w:cs="Times New Roman"/>
        </w:rPr>
        <w:t>月</w:t>
      </w:r>
      <w:r>
        <w:rPr>
          <w:rFonts w:ascii="Calibri" w:hAnsi="Calibri" w:eastAsia="宋体" w:cs="Times New Roman"/>
        </w:rPr>
        <w:t xml:space="preserve">     </w:t>
      </w:r>
      <w:r>
        <w:rPr>
          <w:rFonts w:hint="eastAsia" w:ascii="Calibri" w:hAnsi="Calibri" w:eastAsia="宋体" w:cs="Times New Roman"/>
        </w:rPr>
        <w:t>日</w:t>
      </w:r>
    </w:p>
    <w:tbl>
      <w:tblPr>
        <w:tblStyle w:val="5"/>
        <w:tblpPr w:leftFromText="180" w:rightFromText="180" w:vertAnchor="text" w:horzAnchor="margin" w:tblpXSpec="center" w:tblpY="212"/>
        <w:tblW w:w="10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29"/>
        <w:gridCol w:w="7245"/>
        <w:gridCol w:w="429"/>
        <w:gridCol w:w="718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责任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类别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序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号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730" w:firstLineChars="1300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具体内容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分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值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105" w:leftChars="50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得分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10" w:firstLineChars="100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备</w:t>
            </w:r>
          </w:p>
          <w:p>
            <w:pPr>
              <w:ind w:firstLine="210" w:firstLineChars="100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组织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领导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部门领导重视消防、治安综合治理工作，逐级落实并签订了《消防、治安综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合治理责任书》。遇事故发生，部门领导能及时到达现场指挥协调，相关工作人员能迅速到岗执行任务。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2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部门综合治理成立组织机构，落实岗位责任制，分工明确，责任到人，预案中有内容、重环节、有步骤。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3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年初有计划，年底有总结，把防火、防盗、防自然灾害事故等工作纳入部门年度工作计划，做到思想重视，制度健全。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政治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保卫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4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在政治“敏感”期，及时化解内部不安定因素。本单位无人参与集会、游行、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起哄等事件。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5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重大节日和活动，重要接待或来访活动，必须做好安全预案并于事前两天向学校保卫部门报备。同时认真做好相应部署，有效应对突发情况发生。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校园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安全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6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重点部位安排防护设施完好，无不锁门、不关窗现象发生，积极配合学校保卫部门配备安装防盗装置和有效的消防设备。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7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本单位师生员工能自觉遵守《校园出入管理规定》和相关的安全管理制度，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维护学院的安全和稳定。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8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自觉遵守校园交通管理制度，本单位员工没有在校园发生无证、无牌、超速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驾驶等现象。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9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加强临时工管理。经学校同意聘请的临时工用人单位主动到学校保卫部门办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理《临时出入证》。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10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本单位没有发生学生、教职员工重大失窃责任事件，发生一起扣</w:t>
            </w:r>
            <w:r>
              <w:rPr>
                <w:rFonts w:ascii="Calibri" w:hAnsi="Calibri" w:eastAsia="宋体" w:cs="Times New Roman"/>
              </w:rPr>
              <w:t>5</w:t>
            </w:r>
            <w:r>
              <w:rPr>
                <w:rFonts w:hint="eastAsia" w:ascii="Calibri" w:hAnsi="Calibri" w:eastAsia="宋体" w:cs="Times New Roman"/>
              </w:rPr>
              <w:t>分；没有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发生师生集体上访、闹事或群体性斗殴事件，发生一起扣</w:t>
            </w:r>
            <w:r>
              <w:rPr>
                <w:rFonts w:ascii="Calibri" w:hAnsi="Calibri" w:eastAsia="宋体" w:cs="Times New Roman"/>
              </w:rPr>
              <w:t>10</w:t>
            </w:r>
            <w:r>
              <w:rPr>
                <w:rFonts w:hint="eastAsia" w:ascii="Calibri" w:hAnsi="Calibri" w:eastAsia="宋体" w:cs="Times New Roman"/>
              </w:rPr>
              <w:t>分；没有发生重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大食品安全事件，发生一起扣</w:t>
            </w:r>
            <w:r>
              <w:rPr>
                <w:rFonts w:ascii="Calibri" w:hAnsi="Calibri" w:eastAsia="宋体" w:cs="Times New Roman"/>
              </w:rPr>
              <w:t>15</w:t>
            </w:r>
            <w:r>
              <w:rPr>
                <w:rFonts w:hint="eastAsia" w:ascii="Calibri" w:hAnsi="Calibri" w:eastAsia="宋体" w:cs="Times New Roman"/>
              </w:rPr>
              <w:t>分；没有发生刑事案件或重大治安案件，发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生一起扣</w:t>
            </w:r>
            <w:r>
              <w:rPr>
                <w:rFonts w:ascii="Calibri" w:hAnsi="Calibri" w:eastAsia="宋体" w:cs="Times New Roman"/>
              </w:rPr>
              <w:t>15</w:t>
            </w:r>
            <w:r>
              <w:rPr>
                <w:rFonts w:hint="eastAsia" w:ascii="Calibri" w:hAnsi="Calibri" w:eastAsia="宋体" w:cs="Times New Roman"/>
              </w:rPr>
              <w:t>分；有师生员工犯罪被逮捕或判刑的，扣</w:t>
            </w:r>
            <w:r>
              <w:rPr>
                <w:rFonts w:ascii="Calibri" w:hAnsi="Calibri" w:eastAsia="宋体" w:cs="Times New Roman"/>
              </w:rPr>
              <w:t>15-20</w:t>
            </w:r>
            <w:r>
              <w:rPr>
                <w:rFonts w:hint="eastAsia" w:ascii="Calibri" w:hAnsi="Calibri" w:eastAsia="宋体" w:cs="Times New Roman"/>
              </w:rPr>
              <w:t>分。发生上述重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大案件（事件）隐瞒不报的，扣</w:t>
            </w:r>
            <w:r>
              <w:rPr>
                <w:rFonts w:ascii="Calibri" w:hAnsi="Calibri" w:eastAsia="宋体" w:cs="Times New Roman"/>
              </w:rPr>
              <w:t>30</w:t>
            </w:r>
            <w:r>
              <w:rPr>
                <w:rFonts w:hint="eastAsia" w:ascii="Calibri" w:hAnsi="Calibri" w:eastAsia="宋体" w:cs="Times New Roman"/>
              </w:rPr>
              <w:t>分。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11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学生宿舍严禁使用大功率电器，全年没有发生火灾事故。大功率电器每查处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一件，扣</w:t>
            </w:r>
            <w:r>
              <w:rPr>
                <w:rFonts w:ascii="Calibri" w:hAnsi="Calibri" w:eastAsia="宋体" w:cs="Times New Roman"/>
              </w:rPr>
              <w:t>0.5</w:t>
            </w:r>
            <w:r>
              <w:rPr>
                <w:rFonts w:hint="eastAsia" w:ascii="Calibri" w:hAnsi="Calibri" w:eastAsia="宋体" w:cs="Times New Roman"/>
              </w:rPr>
              <w:t>分；火灾事故每发生</w:t>
            </w:r>
            <w:r>
              <w:rPr>
                <w:rFonts w:ascii="Calibri" w:hAnsi="Calibri" w:eastAsia="宋体" w:cs="Times New Roman"/>
              </w:rPr>
              <w:t>1</w:t>
            </w:r>
            <w:r>
              <w:rPr>
                <w:rFonts w:hint="eastAsia" w:ascii="Calibri" w:hAnsi="Calibri" w:eastAsia="宋体" w:cs="Times New Roman"/>
              </w:rPr>
              <w:t>宗扣</w:t>
            </w:r>
            <w:r>
              <w:rPr>
                <w:rFonts w:ascii="Calibri" w:hAnsi="Calibri" w:eastAsia="宋体" w:cs="Times New Roman"/>
              </w:rPr>
              <w:t>10</w:t>
            </w:r>
            <w:r>
              <w:rPr>
                <w:rFonts w:hint="eastAsia" w:ascii="Calibri" w:hAnsi="Calibri" w:eastAsia="宋体" w:cs="Times New Roman"/>
              </w:rPr>
              <w:t>—</w:t>
            </w:r>
            <w:r>
              <w:rPr>
                <w:rFonts w:ascii="Calibri" w:hAnsi="Calibri" w:eastAsia="宋体" w:cs="Times New Roman"/>
              </w:rPr>
              <w:t>20</w:t>
            </w:r>
            <w:r>
              <w:rPr>
                <w:rFonts w:hint="eastAsia" w:ascii="Calibri" w:hAnsi="Calibri" w:eastAsia="宋体" w:cs="Times New Roman"/>
              </w:rPr>
              <w:t>分。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12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没有发生破环学校公物和私人财产的案件，没有发生群体性起哄砸物事件，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没有发生严重破环校园绿化和基础设施的行为。发生一起，扣</w:t>
            </w:r>
            <w:r>
              <w:rPr>
                <w:rFonts w:ascii="Calibri" w:hAnsi="Calibri" w:eastAsia="宋体" w:cs="Times New Roman"/>
              </w:rPr>
              <w:t>5</w:t>
            </w:r>
            <w:r>
              <w:rPr>
                <w:rFonts w:hint="eastAsia" w:ascii="Calibri" w:hAnsi="Calibri" w:eastAsia="宋体" w:cs="Times New Roman"/>
              </w:rPr>
              <w:t>—</w:t>
            </w:r>
            <w:r>
              <w:rPr>
                <w:rFonts w:ascii="Calibri" w:hAnsi="Calibri" w:eastAsia="宋体" w:cs="Times New Roman"/>
              </w:rPr>
              <w:t>10</w:t>
            </w:r>
            <w:r>
              <w:rPr>
                <w:rFonts w:hint="eastAsia" w:ascii="Calibri" w:hAnsi="Calibri" w:eastAsia="宋体" w:cs="Times New Roman"/>
              </w:rPr>
              <w:t>分。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宣传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教育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13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szCs w:val="20"/>
              </w:rPr>
            </w:pPr>
            <w:r>
              <w:rPr>
                <w:rFonts w:hint="eastAsia" w:ascii="Calibri" w:hAnsi="Calibri" w:eastAsia="宋体" w:cs="Times New Roman"/>
              </w:rPr>
              <w:t>经常开展安全教育工作，每年不少于五次。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落实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整改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14</w:t>
            </w:r>
          </w:p>
        </w:tc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落实保卫部门的整改意见，加强本部门安全防范措施的落实，保卫部门口头</w:t>
            </w:r>
          </w:p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通知整改的扣</w:t>
            </w:r>
            <w:r>
              <w:rPr>
                <w:rFonts w:ascii="Calibri" w:hAnsi="Calibri" w:eastAsia="宋体" w:cs="Times New Roman"/>
              </w:rPr>
              <w:t>2</w:t>
            </w:r>
            <w:r>
              <w:rPr>
                <w:rFonts w:hint="eastAsia" w:ascii="Calibri" w:hAnsi="Calibri" w:eastAsia="宋体" w:cs="Times New Roman"/>
              </w:rPr>
              <w:t>分，发出整改通知的扣</w:t>
            </w:r>
            <w:r>
              <w:rPr>
                <w:rFonts w:ascii="Calibri" w:hAnsi="Calibri" w:eastAsia="宋体" w:cs="Times New Roman"/>
              </w:rPr>
              <w:t>5</w:t>
            </w:r>
            <w:r>
              <w:rPr>
                <w:rFonts w:hint="eastAsia" w:ascii="Calibri" w:hAnsi="Calibri" w:eastAsia="宋体" w:cs="Times New Roman"/>
              </w:rPr>
              <w:t>分，不落实整改的扣</w:t>
            </w:r>
            <w:r>
              <w:rPr>
                <w:rFonts w:ascii="Calibri" w:hAnsi="Calibri" w:eastAsia="宋体" w:cs="Times New Roman"/>
              </w:rPr>
              <w:t>10</w:t>
            </w:r>
            <w:r>
              <w:rPr>
                <w:rFonts w:hint="eastAsia" w:ascii="Calibri" w:hAnsi="Calibri" w:eastAsia="宋体" w:cs="Times New Roman"/>
              </w:rPr>
              <w:t>分。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</w:rPr>
            </w:pPr>
          </w:p>
        </w:tc>
      </w:tr>
    </w:tbl>
    <w:p>
      <w:pPr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说明：</w:t>
      </w:r>
      <w:r>
        <w:rPr>
          <w:rFonts w:ascii="Calibri" w:hAnsi="Calibri" w:eastAsia="宋体" w:cs="Times New Roman"/>
        </w:rPr>
        <w:t>1.</w:t>
      </w:r>
      <w:r>
        <w:rPr>
          <w:rFonts w:hint="eastAsia" w:ascii="Calibri" w:hAnsi="Calibri" w:eastAsia="宋体" w:cs="Times New Roman"/>
        </w:rPr>
        <w:t>火灾事故的责任认定，依据消防部门和学校综合治理办公室的火灾起因结论为准。</w:t>
      </w:r>
    </w:p>
    <w:p>
      <w:pPr>
        <w:rPr>
          <w:rFonts w:ascii="Calibri" w:hAnsi="Calibri" w:eastAsia="宋体" w:cs="Times New Roman"/>
        </w:rPr>
      </w:pPr>
      <w:r>
        <w:rPr>
          <w:rFonts w:ascii="Calibri" w:hAnsi="Calibri" w:eastAsia="宋体" w:cs="Times New Roman"/>
        </w:rPr>
        <w:t xml:space="preserve">      2.</w:t>
      </w:r>
      <w:r>
        <w:rPr>
          <w:rFonts w:hint="eastAsia" w:ascii="Calibri" w:hAnsi="Calibri" w:eastAsia="宋体" w:cs="Times New Roman"/>
        </w:rPr>
        <w:t>盗窃事件的责任认定，依据公安部门对事件性质的认定区分责任。</w:t>
      </w:r>
    </w:p>
    <w:p>
      <w:r>
        <w:rPr>
          <w:rFonts w:ascii="Calibri" w:hAnsi="Calibri" w:eastAsia="宋体" w:cs="Times New Roman"/>
        </w:rPr>
        <w:t xml:space="preserve">      3.</w:t>
      </w:r>
      <w:r>
        <w:rPr>
          <w:rFonts w:hint="eastAsia" w:ascii="Calibri" w:hAnsi="Calibri" w:eastAsia="宋体" w:cs="Times New Roman"/>
        </w:rPr>
        <w:t>食物中毒事件的责任认定，依据卫生防疫部门的结论为准。</w:t>
      </w:r>
    </w:p>
    <w:p>
      <w:pPr>
        <w:rPr>
          <w:rFonts w:ascii="Calibri" w:hAnsi="Calibri" w:eastAsia="宋体" w:cs="Times New Roman"/>
        </w:rPr>
      </w:pPr>
    </w:p>
    <w:p>
      <w:pPr>
        <w:rPr>
          <w:b/>
        </w:rPr>
      </w:pPr>
      <w:r>
        <w:rPr>
          <w:rFonts w:hint="eastAsia" w:ascii="Calibri" w:hAnsi="Calibri" w:eastAsia="宋体" w:cs="Times New Roman"/>
          <w:b/>
        </w:rPr>
        <w:t>附件</w:t>
      </w:r>
      <w:r>
        <w:rPr>
          <w:b/>
        </w:rPr>
        <w:t>2</w:t>
      </w:r>
    </w:p>
    <w:p>
      <w:pPr>
        <w:rPr>
          <w:b/>
        </w:rPr>
      </w:pPr>
    </w:p>
    <w:p>
      <w:pPr>
        <w:spacing w:line="480" w:lineRule="exact"/>
        <w:jc w:val="center"/>
        <w:rPr>
          <w:rFonts w:ascii="宋体" w:hAnsi="宋体" w:eastAsia="宋体" w:cs="Times New Roman"/>
          <w:b/>
          <w:bCs/>
          <w:sz w:val="30"/>
          <w:szCs w:val="30"/>
        </w:rPr>
      </w:pPr>
      <w:r>
        <w:rPr>
          <w:rFonts w:hint="eastAsia" w:ascii="宋体" w:hAnsi="宋体" w:eastAsia="宋体" w:cs="Times New Roman"/>
          <w:b/>
          <w:bCs/>
          <w:sz w:val="30"/>
          <w:szCs w:val="30"/>
        </w:rPr>
        <w:t>2018年度</w:t>
      </w:r>
      <w:r>
        <w:rPr>
          <w:rFonts w:hint="eastAsia" w:ascii="宋体" w:hAnsi="宋体" w:eastAsia="宋体" w:cs="Times New Roman"/>
          <w:b/>
          <w:sz w:val="30"/>
          <w:szCs w:val="30"/>
        </w:rPr>
        <w:t>消防、治安综合治理</w:t>
      </w:r>
      <w:r>
        <w:rPr>
          <w:rFonts w:hint="eastAsia" w:ascii="宋体" w:hAnsi="宋体" w:eastAsia="宋体" w:cs="Times New Roman"/>
          <w:b/>
          <w:bCs/>
          <w:sz w:val="30"/>
          <w:szCs w:val="30"/>
        </w:rPr>
        <w:t>先进个人推荐表</w:t>
      </w:r>
    </w:p>
    <w:p>
      <w:pPr>
        <w:spacing w:line="480" w:lineRule="exact"/>
        <w:jc w:val="center"/>
        <w:rPr>
          <w:rFonts w:ascii="宋体" w:hAnsi="Calibri" w:eastAsia="宋体" w:cs="Times New Roman"/>
          <w:b/>
          <w:bCs/>
          <w:sz w:val="44"/>
        </w:rPr>
      </w:pPr>
    </w:p>
    <w:tbl>
      <w:tblPr>
        <w:tblStyle w:val="5"/>
        <w:tblW w:w="9075" w:type="dxa"/>
        <w:tblInd w:w="-17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74"/>
        <w:gridCol w:w="577"/>
        <w:gridCol w:w="850"/>
        <w:gridCol w:w="1136"/>
        <w:gridCol w:w="425"/>
        <w:gridCol w:w="423"/>
        <w:gridCol w:w="711"/>
        <w:gridCol w:w="425"/>
        <w:gridCol w:w="849"/>
        <w:gridCol w:w="1561"/>
        <w:gridCol w:w="7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姓 名</w:t>
            </w:r>
          </w:p>
        </w:tc>
        <w:tc>
          <w:tcPr>
            <w:tcW w:w="142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3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性别</w:t>
            </w:r>
          </w:p>
        </w:tc>
        <w:tc>
          <w:tcPr>
            <w:tcW w:w="84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民族</w:t>
            </w:r>
          </w:p>
        </w:tc>
        <w:tc>
          <w:tcPr>
            <w:tcW w:w="84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 xml:space="preserve">  </w:t>
            </w:r>
          </w:p>
        </w:tc>
        <w:tc>
          <w:tcPr>
            <w:tcW w:w="156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政治面貌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86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工作部门</w:t>
            </w: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职务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电话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7" w:hRule="atLeast"/>
        </w:trPr>
        <w:tc>
          <w:tcPr>
            <w:tcW w:w="11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主</w:t>
            </w:r>
          </w:p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要</w:t>
            </w:r>
          </w:p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事</w:t>
            </w:r>
          </w:p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迹</w:t>
            </w:r>
          </w:p>
          <w:p>
            <w:pPr>
              <w:spacing w:line="48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794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480" w:lineRule="exact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spacing w:line="480" w:lineRule="exact"/>
              <w:rPr>
                <w:rFonts w:ascii="仿宋_GB2312" w:hAnsi="Calibri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6" w:hRule="atLeast"/>
        </w:trPr>
        <w:tc>
          <w:tcPr>
            <w:tcW w:w="113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70"/>
              </w:tabs>
              <w:spacing w:line="400" w:lineRule="exact"/>
              <w:jc w:val="center"/>
              <w:rPr>
                <w:rFonts w:ascii="仿宋_GB2312" w:hAnsi="Calibri" w:eastAsia="仿宋_GB2312" w:cs="Times New Roman"/>
                <w:position w:val="6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position w:val="6"/>
                <w:sz w:val="28"/>
              </w:rPr>
              <w:t>推荐单位意见</w:t>
            </w:r>
          </w:p>
        </w:tc>
        <w:tc>
          <w:tcPr>
            <w:tcW w:w="32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ind w:firstLine="840" w:firstLineChars="300"/>
              <w:jc w:val="left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widowControl/>
              <w:spacing w:line="360" w:lineRule="exact"/>
              <w:ind w:firstLine="840" w:firstLineChars="300"/>
              <w:jc w:val="left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widowControl/>
              <w:spacing w:line="360" w:lineRule="exact"/>
              <w:ind w:firstLine="840" w:firstLineChars="300"/>
              <w:jc w:val="left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widowControl/>
              <w:spacing w:line="360" w:lineRule="exact"/>
              <w:ind w:firstLine="840" w:firstLineChars="300"/>
              <w:jc w:val="left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widowControl/>
              <w:spacing w:line="360" w:lineRule="exact"/>
              <w:ind w:firstLine="1120" w:firstLineChars="400"/>
              <w:jc w:val="left"/>
              <w:rPr>
                <w:rFonts w:ascii="仿宋_GB2312" w:eastAsia="仿宋_GB2312"/>
                <w:sz w:val="28"/>
              </w:rPr>
            </w:pPr>
          </w:p>
          <w:p>
            <w:pPr>
              <w:widowControl/>
              <w:spacing w:line="360" w:lineRule="exact"/>
              <w:ind w:firstLine="1120" w:firstLineChars="400"/>
              <w:jc w:val="left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（盖章）</w:t>
            </w:r>
          </w:p>
          <w:p>
            <w:pPr>
              <w:spacing w:line="360" w:lineRule="exact"/>
              <w:ind w:firstLine="560" w:firstLineChars="200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</w:t>
            </w:r>
            <w:r>
              <w:rPr>
                <w:rFonts w:hint="eastAsia" w:ascii="仿宋_GB2312" w:hAnsi="Calibri" w:eastAsia="仿宋_GB2312" w:cs="Times New Roman"/>
                <w:sz w:val="28"/>
              </w:rPr>
              <w:t>年  月  日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</w:rPr>
              <w:t>学校综治维稳</w:t>
            </w:r>
            <w:r>
              <w:rPr>
                <w:rFonts w:hint="eastAsia" w:ascii="仿宋_GB2312" w:hAnsi="Calibri" w:eastAsia="仿宋_GB2312" w:cs="Times New Roman"/>
                <w:sz w:val="28"/>
              </w:rPr>
              <w:t>审核</w:t>
            </w:r>
          </w:p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意见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360" w:lineRule="exact"/>
              <w:jc w:val="left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spacing w:line="360" w:lineRule="exact"/>
              <w:ind w:firstLine="1120" w:firstLineChars="400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spacing w:line="360" w:lineRule="exact"/>
              <w:ind w:firstLine="1120" w:firstLineChars="400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spacing w:line="360" w:lineRule="exact"/>
              <w:ind w:firstLine="1120" w:firstLineChars="400"/>
              <w:rPr>
                <w:rFonts w:ascii="仿宋_GB2312" w:hAnsi="Calibri" w:eastAsia="仿宋_GB2312" w:cs="Times New Roman"/>
                <w:sz w:val="28"/>
              </w:rPr>
            </w:pPr>
          </w:p>
          <w:p>
            <w:pPr>
              <w:spacing w:line="360" w:lineRule="exact"/>
              <w:ind w:firstLine="1260" w:firstLineChars="450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ind w:firstLine="1260" w:firstLineChars="450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>（盖章）</w:t>
            </w:r>
          </w:p>
          <w:p>
            <w:pPr>
              <w:spacing w:line="360" w:lineRule="exact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 xml:space="preserve">        </w:t>
            </w:r>
            <w:r>
              <w:rPr>
                <w:rFonts w:hint="eastAsia" w:ascii="仿宋_GB2312" w:hAnsi="Calibri" w:eastAsia="仿宋_GB2312" w:cs="Times New Roman"/>
                <w:sz w:val="28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B2340"/>
    <w:rsid w:val="00046EAA"/>
    <w:rsid w:val="0005511D"/>
    <w:rsid w:val="00063F60"/>
    <w:rsid w:val="0006783A"/>
    <w:rsid w:val="000B2340"/>
    <w:rsid w:val="000C1A6A"/>
    <w:rsid w:val="001157F8"/>
    <w:rsid w:val="00124083"/>
    <w:rsid w:val="00160BEB"/>
    <w:rsid w:val="001B27C3"/>
    <w:rsid w:val="0026189C"/>
    <w:rsid w:val="00263735"/>
    <w:rsid w:val="002B2667"/>
    <w:rsid w:val="002C6B41"/>
    <w:rsid w:val="002D0A10"/>
    <w:rsid w:val="00361283"/>
    <w:rsid w:val="003814AF"/>
    <w:rsid w:val="003960B5"/>
    <w:rsid w:val="00396EFE"/>
    <w:rsid w:val="003D2154"/>
    <w:rsid w:val="003E11F0"/>
    <w:rsid w:val="004361E7"/>
    <w:rsid w:val="004627DC"/>
    <w:rsid w:val="004803E9"/>
    <w:rsid w:val="00484246"/>
    <w:rsid w:val="00486083"/>
    <w:rsid w:val="00531FA5"/>
    <w:rsid w:val="00557DF6"/>
    <w:rsid w:val="00563094"/>
    <w:rsid w:val="005B5009"/>
    <w:rsid w:val="005D662F"/>
    <w:rsid w:val="0060005E"/>
    <w:rsid w:val="00715217"/>
    <w:rsid w:val="007C5010"/>
    <w:rsid w:val="007D7078"/>
    <w:rsid w:val="00823AFF"/>
    <w:rsid w:val="00857E43"/>
    <w:rsid w:val="00891145"/>
    <w:rsid w:val="008C0A22"/>
    <w:rsid w:val="008D0E43"/>
    <w:rsid w:val="00917BC5"/>
    <w:rsid w:val="00943A37"/>
    <w:rsid w:val="00963DA6"/>
    <w:rsid w:val="009C3B5D"/>
    <w:rsid w:val="00A05496"/>
    <w:rsid w:val="00A1404A"/>
    <w:rsid w:val="00A20A27"/>
    <w:rsid w:val="00A254C0"/>
    <w:rsid w:val="00A25A81"/>
    <w:rsid w:val="00A63D3B"/>
    <w:rsid w:val="00A63DBE"/>
    <w:rsid w:val="00A87AF1"/>
    <w:rsid w:val="00AA545E"/>
    <w:rsid w:val="00AB2F0F"/>
    <w:rsid w:val="00AC3688"/>
    <w:rsid w:val="00AD2DD5"/>
    <w:rsid w:val="00B04EC3"/>
    <w:rsid w:val="00B33EB5"/>
    <w:rsid w:val="00B82709"/>
    <w:rsid w:val="00BA4A9A"/>
    <w:rsid w:val="00BE5766"/>
    <w:rsid w:val="00C03020"/>
    <w:rsid w:val="00C40F66"/>
    <w:rsid w:val="00C773EC"/>
    <w:rsid w:val="00CE4BDB"/>
    <w:rsid w:val="00D121D1"/>
    <w:rsid w:val="00D83EE5"/>
    <w:rsid w:val="00D86186"/>
    <w:rsid w:val="00DD53D9"/>
    <w:rsid w:val="00DF5DCC"/>
    <w:rsid w:val="00DF7C18"/>
    <w:rsid w:val="00E724CA"/>
    <w:rsid w:val="00E97CA2"/>
    <w:rsid w:val="00EE230A"/>
    <w:rsid w:val="00F21C25"/>
    <w:rsid w:val="00FD3A3D"/>
    <w:rsid w:val="02424C84"/>
    <w:rsid w:val="037F5DE1"/>
    <w:rsid w:val="03833154"/>
    <w:rsid w:val="04397EBF"/>
    <w:rsid w:val="05193799"/>
    <w:rsid w:val="06A71119"/>
    <w:rsid w:val="06B74BC3"/>
    <w:rsid w:val="0833707F"/>
    <w:rsid w:val="08BD7D81"/>
    <w:rsid w:val="0A900DF9"/>
    <w:rsid w:val="0AAB4717"/>
    <w:rsid w:val="0C193DAB"/>
    <w:rsid w:val="0C864E17"/>
    <w:rsid w:val="0EE21EFA"/>
    <w:rsid w:val="118352AC"/>
    <w:rsid w:val="11F11A81"/>
    <w:rsid w:val="120E539A"/>
    <w:rsid w:val="128B0911"/>
    <w:rsid w:val="128E6559"/>
    <w:rsid w:val="140A54B7"/>
    <w:rsid w:val="15237AC7"/>
    <w:rsid w:val="15E65D68"/>
    <w:rsid w:val="17FB7578"/>
    <w:rsid w:val="19265C34"/>
    <w:rsid w:val="1B5E0817"/>
    <w:rsid w:val="1DAA5F5C"/>
    <w:rsid w:val="1E1E7DF7"/>
    <w:rsid w:val="1E8C4A86"/>
    <w:rsid w:val="2082325E"/>
    <w:rsid w:val="20C9449B"/>
    <w:rsid w:val="238E64E3"/>
    <w:rsid w:val="23F23316"/>
    <w:rsid w:val="24863D0B"/>
    <w:rsid w:val="253F7297"/>
    <w:rsid w:val="257A0568"/>
    <w:rsid w:val="26BA3DE0"/>
    <w:rsid w:val="275B2C41"/>
    <w:rsid w:val="291463E7"/>
    <w:rsid w:val="2A913EAE"/>
    <w:rsid w:val="2B4C344C"/>
    <w:rsid w:val="2CBC2B1C"/>
    <w:rsid w:val="2F3A6D3A"/>
    <w:rsid w:val="325D0E59"/>
    <w:rsid w:val="32DC36C3"/>
    <w:rsid w:val="38EA3B9E"/>
    <w:rsid w:val="390949A5"/>
    <w:rsid w:val="390F6126"/>
    <w:rsid w:val="3B0C05D8"/>
    <w:rsid w:val="3B6223A6"/>
    <w:rsid w:val="3BC27FB1"/>
    <w:rsid w:val="3C1C46AF"/>
    <w:rsid w:val="3D72650A"/>
    <w:rsid w:val="3F4F4A32"/>
    <w:rsid w:val="3F874360"/>
    <w:rsid w:val="4021512A"/>
    <w:rsid w:val="40355D7D"/>
    <w:rsid w:val="41506154"/>
    <w:rsid w:val="42ED4ECF"/>
    <w:rsid w:val="435B644E"/>
    <w:rsid w:val="4423612C"/>
    <w:rsid w:val="45C05201"/>
    <w:rsid w:val="47CB7953"/>
    <w:rsid w:val="487B5428"/>
    <w:rsid w:val="494B68E9"/>
    <w:rsid w:val="4C5D5FA5"/>
    <w:rsid w:val="4DDB3617"/>
    <w:rsid w:val="4F2B6113"/>
    <w:rsid w:val="4FCE6FAF"/>
    <w:rsid w:val="516F1DBB"/>
    <w:rsid w:val="52EF1955"/>
    <w:rsid w:val="576578F4"/>
    <w:rsid w:val="577E1397"/>
    <w:rsid w:val="583B4125"/>
    <w:rsid w:val="58EA76C7"/>
    <w:rsid w:val="595A6C7C"/>
    <w:rsid w:val="5A221B22"/>
    <w:rsid w:val="5B5C2A91"/>
    <w:rsid w:val="5CCB76CE"/>
    <w:rsid w:val="5EA44C5A"/>
    <w:rsid w:val="60D52016"/>
    <w:rsid w:val="63611114"/>
    <w:rsid w:val="64134F7F"/>
    <w:rsid w:val="6472251D"/>
    <w:rsid w:val="652261E3"/>
    <w:rsid w:val="6588030A"/>
    <w:rsid w:val="66E00523"/>
    <w:rsid w:val="67184F7F"/>
    <w:rsid w:val="67B273E4"/>
    <w:rsid w:val="685404CC"/>
    <w:rsid w:val="6AE97F5F"/>
    <w:rsid w:val="70E633F5"/>
    <w:rsid w:val="71440F99"/>
    <w:rsid w:val="72937BB4"/>
    <w:rsid w:val="72A55877"/>
    <w:rsid w:val="732775C3"/>
    <w:rsid w:val="732935A9"/>
    <w:rsid w:val="734A6C99"/>
    <w:rsid w:val="7371705D"/>
    <w:rsid w:val="73DC36BC"/>
    <w:rsid w:val="74E368E6"/>
    <w:rsid w:val="75972B47"/>
    <w:rsid w:val="7687569F"/>
    <w:rsid w:val="77CC16E2"/>
    <w:rsid w:val="79F43D87"/>
    <w:rsid w:val="7A0A392D"/>
    <w:rsid w:val="7A7C67AE"/>
    <w:rsid w:val="7B8B4924"/>
    <w:rsid w:val="7F95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F26003-3881-4781-9853-51BC122A1C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iTianKong.com</Company>
  <Pages>5</Pages>
  <Words>377</Words>
  <Characters>2151</Characters>
  <Lines>17</Lines>
  <Paragraphs>5</Paragraphs>
  <TotalTime>10</TotalTime>
  <ScaleCrop>false</ScaleCrop>
  <LinksUpToDate>false</LinksUpToDate>
  <CharactersWithSpaces>2523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2016-12-02T02:33:00Z</dcterms:created>
  <dc:creator>SkyUser</dc:creator>
  <cp:lastModifiedBy>lenovo</cp:lastModifiedBy>
  <cp:lastPrinted>2017-12-26T00:39:00Z</cp:lastPrinted>
  <dcterms:modified xsi:type="dcterms:W3CDTF">2018-12-19T01:36:55Z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