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900" w:type="dxa"/>
        <w:tblCellSpacing w:w="0" w:type="dxa"/>
        <w:tblInd w:w="0" w:type="dxa"/>
        <w:shd w:val="clear"/>
        <w:tblLayout w:type="fixed"/>
        <w:tblCellMar>
          <w:top w:w="0" w:type="dxa"/>
          <w:left w:w="0" w:type="dxa"/>
          <w:bottom w:w="0" w:type="dxa"/>
          <w:right w:w="0" w:type="dxa"/>
        </w:tblCellMar>
      </w:tblPr>
      <w:tblGrid>
        <w:gridCol w:w="9900"/>
      </w:tblGrid>
      <w:tr>
        <w:tblPrEx>
          <w:shd w:val="clear"/>
          <w:tblLayout w:type="fixed"/>
          <w:tblCellMar>
            <w:top w:w="0" w:type="dxa"/>
            <w:left w:w="0" w:type="dxa"/>
            <w:bottom w:w="0" w:type="dxa"/>
            <w:right w:w="0" w:type="dxa"/>
          </w:tblCellMar>
        </w:tblPrEx>
        <w:trPr>
          <w:trHeight w:val="825" w:hRule="atLeast"/>
          <w:tblCellSpacing w:w="0" w:type="dxa"/>
        </w:trPr>
        <w:tc>
          <w:tcPr>
            <w:tcW w:w="9900" w:type="dxa"/>
            <w:shd w:val="clear"/>
            <w:vAlign w:val="center"/>
          </w:tcPr>
          <w:p>
            <w:pPr>
              <w:keepNext w:val="0"/>
              <w:keepLines w:val="0"/>
              <w:widowControl/>
              <w:suppressLineNumbers w:val="0"/>
              <w:jc w:val="center"/>
              <w:rPr>
                <w:b/>
                <w:color w:val="FF0000"/>
                <w:sz w:val="44"/>
                <w:szCs w:val="44"/>
              </w:rPr>
            </w:pPr>
            <w:r>
              <w:rPr>
                <w:rFonts w:ascii="宋体" w:hAnsi="宋体" w:eastAsia="宋体" w:cs="宋体"/>
                <w:b/>
                <w:color w:val="FF0000"/>
                <w:kern w:val="0"/>
                <w:sz w:val="44"/>
                <w:szCs w:val="44"/>
                <w:lang w:val="en-US" w:eastAsia="zh-CN" w:bidi="ar"/>
              </w:rPr>
              <w:t>教 育 部 司 局 函 件</w:t>
            </w:r>
          </w:p>
        </w:tc>
      </w:tr>
      <w:tr>
        <w:tblPrEx>
          <w:tblLayout w:type="fixed"/>
          <w:tblCellMar>
            <w:top w:w="0" w:type="dxa"/>
            <w:left w:w="0" w:type="dxa"/>
            <w:bottom w:w="0" w:type="dxa"/>
            <w:right w:w="0" w:type="dxa"/>
          </w:tblCellMar>
        </w:tblPrEx>
        <w:trPr>
          <w:trHeight w:val="75" w:hRule="atLeast"/>
          <w:tblCellSpacing w:w="0" w:type="dxa"/>
        </w:trPr>
        <w:tc>
          <w:tcPr>
            <w:tcW w:w="9900" w:type="dxa"/>
            <w:shd w:val="clear" w:color="auto" w:fill="FF0000"/>
            <w:vAlign w:val="center"/>
          </w:tcPr>
          <w:p>
            <w:pPr>
              <w:rPr>
                <w:rFonts w:hint="eastAsia" w:ascii="宋体"/>
                <w:sz w:val="24"/>
                <w:szCs w:val="24"/>
              </w:rPr>
            </w:pPr>
          </w:p>
        </w:tc>
      </w:tr>
      <w:tr>
        <w:tblPrEx>
          <w:tblLayout w:type="fixed"/>
          <w:tblCellMar>
            <w:top w:w="0" w:type="dxa"/>
            <w:left w:w="0" w:type="dxa"/>
            <w:bottom w:w="0" w:type="dxa"/>
            <w:right w:w="0" w:type="dxa"/>
          </w:tblCellMar>
        </w:tblPrEx>
        <w:trPr>
          <w:trHeight w:val="16" w:hRule="atLeast"/>
          <w:tblCellSpacing w:w="0" w:type="dxa"/>
        </w:trPr>
        <w:tc>
          <w:tcPr>
            <w:tcW w:w="9900" w:type="dxa"/>
            <w:shd w:val="clear"/>
            <w:vAlign w:val="center"/>
          </w:tcPr>
          <w:p>
            <w:pPr>
              <w:rPr>
                <w:rFonts w:hint="eastAsia" w:ascii="宋体"/>
                <w:sz w:val="24"/>
                <w:szCs w:val="24"/>
              </w:rPr>
            </w:pPr>
          </w:p>
        </w:tc>
      </w:tr>
      <w:tr>
        <w:tblPrEx>
          <w:tblLayout w:type="fixed"/>
          <w:tblCellMar>
            <w:top w:w="0" w:type="dxa"/>
            <w:left w:w="0" w:type="dxa"/>
            <w:bottom w:w="0" w:type="dxa"/>
            <w:right w:w="0" w:type="dxa"/>
          </w:tblCellMar>
        </w:tblPrEx>
        <w:trPr>
          <w:trHeight w:val="16" w:hRule="atLeast"/>
          <w:tblCellSpacing w:w="0" w:type="dxa"/>
        </w:trPr>
        <w:tc>
          <w:tcPr>
            <w:tcW w:w="9900" w:type="dxa"/>
            <w:shd w:val="clear" w:color="auto" w:fill="FF0000"/>
            <w:vAlign w:val="center"/>
          </w:tcPr>
          <w:p>
            <w:pPr>
              <w:rPr>
                <w:rFonts w:hint="eastAsia" w:ascii="宋体"/>
                <w:sz w:val="24"/>
                <w:szCs w:val="24"/>
              </w:rPr>
            </w:pPr>
          </w:p>
        </w:tc>
      </w:tr>
    </w:tbl>
    <w:p>
      <w:pPr>
        <w:rPr>
          <w:vanish/>
          <w:sz w:val="24"/>
          <w:szCs w:val="24"/>
        </w:rPr>
      </w:pPr>
    </w:p>
    <w:tbl>
      <w:tblPr>
        <w:tblW w:w="9750" w:type="dxa"/>
        <w:jc w:val="center"/>
        <w:tblCellSpacing w:w="0" w:type="dxa"/>
        <w:tblInd w:w="-722" w:type="dxa"/>
        <w:shd w:val="clear"/>
        <w:tblLayout w:type="fixed"/>
        <w:tblCellMar>
          <w:top w:w="0" w:type="dxa"/>
          <w:left w:w="0" w:type="dxa"/>
          <w:bottom w:w="0" w:type="dxa"/>
          <w:right w:w="0" w:type="dxa"/>
        </w:tblCellMar>
      </w:tblPr>
      <w:tblGrid>
        <w:gridCol w:w="9750"/>
      </w:tblGrid>
      <w:tr>
        <w:tblPrEx>
          <w:shd w:val="clear"/>
          <w:tblLayout w:type="fixed"/>
          <w:tblCellMar>
            <w:top w:w="0" w:type="dxa"/>
            <w:left w:w="0" w:type="dxa"/>
            <w:bottom w:w="0" w:type="dxa"/>
            <w:right w:w="0" w:type="dxa"/>
          </w:tblCellMar>
        </w:tblPrEx>
        <w:trPr>
          <w:tblCellSpacing w:w="0" w:type="dxa"/>
          <w:jc w:val="center"/>
        </w:trPr>
        <w:tc>
          <w:tcPr>
            <w:tcW w:w="9750" w:type="dxa"/>
            <w:shd w:val="clear"/>
            <w:vAlign w:val="top"/>
          </w:tcPr>
          <w:p>
            <w:pPr>
              <w:keepNext w:val="0"/>
              <w:keepLines w:val="0"/>
              <w:widowControl/>
              <w:suppressLineNumbers w:val="0"/>
              <w:jc w:val="center"/>
            </w:pPr>
            <w:r>
              <w:rPr>
                <w:rFonts w:ascii="宋体" w:hAnsi="宋体" w:eastAsia="宋体" w:cs="宋体"/>
                <w:kern w:val="0"/>
                <w:sz w:val="24"/>
                <w:szCs w:val="24"/>
                <w:lang w:val="en-US" w:eastAsia="zh-CN" w:bidi="ar"/>
              </w:rPr>
              <w:t> </w:t>
            </w:r>
          </w:p>
          <w:p>
            <w:pPr>
              <w:keepNext w:val="0"/>
              <w:keepLines w:val="0"/>
              <w:widowControl/>
              <w:suppressLineNumbers w:val="0"/>
              <w:jc w:val="right"/>
            </w:pPr>
          </w:p>
          <w:p>
            <w:pPr>
              <w:keepNext w:val="0"/>
              <w:keepLines w:val="0"/>
              <w:widowControl/>
              <w:suppressLineNumbers w:val="0"/>
              <w:jc w:val="left"/>
            </w:pPr>
            <w:r>
              <w:rPr>
                <w:rFonts w:ascii="宋体" w:hAnsi="宋体" w:eastAsia="宋体" w:cs="宋体"/>
                <w:kern w:val="0"/>
                <w:sz w:val="24"/>
                <w:szCs w:val="24"/>
                <w:lang w:val="en-US" w:eastAsia="zh-CN" w:bidi="ar"/>
              </w:rPr>
              <w:t> </w:t>
            </w:r>
          </w:p>
          <w:tbl>
            <w:tblPr>
              <w:tblW w:w="9750" w:type="dxa"/>
              <w:jc w:val="center"/>
              <w:tblCellSpacing w:w="0" w:type="dxa"/>
              <w:tblInd w:w="0" w:type="dxa"/>
              <w:shd w:val="clear"/>
              <w:tblLayout w:type="fixed"/>
              <w:tblCellMar>
                <w:top w:w="0" w:type="dxa"/>
                <w:left w:w="0" w:type="dxa"/>
                <w:bottom w:w="0" w:type="dxa"/>
                <w:right w:w="0" w:type="dxa"/>
              </w:tblCellMar>
            </w:tblPr>
            <w:tblGrid>
              <w:gridCol w:w="9750"/>
            </w:tblGrid>
            <w:tr>
              <w:tblPrEx>
                <w:shd w:val="clear"/>
                <w:tblLayout w:type="fixed"/>
                <w:tblCellMar>
                  <w:top w:w="0" w:type="dxa"/>
                  <w:left w:w="0" w:type="dxa"/>
                  <w:bottom w:w="0" w:type="dxa"/>
                  <w:right w:w="0" w:type="dxa"/>
                </w:tblCellMar>
              </w:tblPrEx>
              <w:trPr>
                <w:tblCellSpacing w:w="0" w:type="dxa"/>
                <w:jc w:val="center"/>
              </w:trPr>
              <w:tc>
                <w:tcPr>
                  <w:tcW w:w="9750" w:type="dxa"/>
                  <w:shd w:val="clear"/>
                  <w:vAlign w:val="bottom"/>
                </w:tcPr>
                <w:tbl>
                  <w:tblPr>
                    <w:tblW w:w="8775" w:type="dxa"/>
                    <w:jc w:val="center"/>
                    <w:tblCellSpacing w:w="0" w:type="dxa"/>
                    <w:tblInd w:w="488" w:type="dxa"/>
                    <w:shd w:val="clear"/>
                    <w:tblLayout w:type="fixed"/>
                    <w:tblCellMar>
                      <w:top w:w="0" w:type="dxa"/>
                      <w:left w:w="0" w:type="dxa"/>
                      <w:bottom w:w="0" w:type="dxa"/>
                      <w:right w:w="0" w:type="dxa"/>
                    </w:tblCellMar>
                  </w:tblPr>
                  <w:tblGrid>
                    <w:gridCol w:w="8775"/>
                  </w:tblGrid>
                  <w:tr>
                    <w:tblPrEx>
                      <w:shd w:val="clear"/>
                      <w:tblLayout w:type="fixed"/>
                      <w:tblCellMar>
                        <w:top w:w="0" w:type="dxa"/>
                        <w:left w:w="0" w:type="dxa"/>
                        <w:bottom w:w="0" w:type="dxa"/>
                        <w:right w:w="0" w:type="dxa"/>
                      </w:tblCellMar>
                    </w:tblPrEx>
                    <w:trPr>
                      <w:tblCellSpacing w:w="0" w:type="dxa"/>
                      <w:jc w:val="center"/>
                    </w:trPr>
                    <w:tc>
                      <w:tcPr>
                        <w:tcW w:w="8775" w:type="dxa"/>
                        <w:shd w:val="clear"/>
                        <w:vAlign w:val="center"/>
                      </w:tcPr>
                      <w:p>
                        <w:pPr>
                          <w:pStyle w:val="2"/>
                          <w:keepNext w:val="0"/>
                          <w:keepLines w:val="0"/>
                          <w:widowControl/>
                          <w:suppressLineNumbers w:val="0"/>
                          <w:jc w:val="center"/>
                          <w:rPr>
                            <w:b/>
                            <w:color w:val="000000"/>
                            <w:sz w:val="30"/>
                            <w:szCs w:val="30"/>
                          </w:rPr>
                        </w:pPr>
                        <w:r>
                          <w:rPr>
                            <w:b/>
                            <w:color w:val="000000"/>
                            <w:sz w:val="30"/>
                            <w:szCs w:val="30"/>
                          </w:rPr>
                          <w:t>2016年度教育部人文社会科学研究一般项目申报常见问题释疑 </w:t>
                        </w:r>
                        <w:r>
                          <w:rPr>
                            <w:b/>
                            <w:color w:val="000000"/>
                            <w:sz w:val="30"/>
                            <w:szCs w:val="30"/>
                          </w:rPr>
                          <w:br w:type="textWrapping"/>
                        </w:r>
                        <w:r>
                          <w:rPr>
                            <w:b/>
                            <w:color w:val="000000"/>
                            <w:sz w:val="30"/>
                            <w:szCs w:val="30"/>
                          </w:rPr>
                          <w:t> </w:t>
                        </w:r>
                      </w:p>
                    </w:tc>
                  </w:tr>
                </w:tbl>
                <w:p>
                  <w:pPr>
                    <w:jc w:val="center"/>
                  </w:pPr>
                </w:p>
              </w:tc>
            </w:tr>
            <w:tr>
              <w:tblPrEx>
                <w:shd w:val="clear"/>
                <w:tblLayout w:type="fixed"/>
                <w:tblCellMar>
                  <w:top w:w="0" w:type="dxa"/>
                  <w:left w:w="0" w:type="dxa"/>
                  <w:bottom w:w="0" w:type="dxa"/>
                  <w:right w:w="0" w:type="dxa"/>
                </w:tblCellMar>
              </w:tblPrEx>
              <w:trPr>
                <w:tblCellSpacing w:w="0" w:type="dxa"/>
                <w:jc w:val="center"/>
              </w:trPr>
              <w:tc>
                <w:tcPr>
                  <w:tcW w:w="9750" w:type="dxa"/>
                  <w:shd w:val="clear"/>
                  <w:vAlign w:val="top"/>
                </w:tcPr>
                <w:p>
                  <w:pPr>
                    <w:rPr>
                      <w:rFonts w:hint="eastAsia" w:ascii="宋体"/>
                      <w:sz w:val="24"/>
                      <w:szCs w:val="24"/>
                    </w:rPr>
                  </w:pPr>
                </w:p>
              </w:tc>
            </w:tr>
            <w:tr>
              <w:tblPrEx>
                <w:shd w:val="clear"/>
                <w:tblLayout w:type="fixed"/>
                <w:tblCellMar>
                  <w:top w:w="0" w:type="dxa"/>
                  <w:left w:w="0" w:type="dxa"/>
                  <w:bottom w:w="0" w:type="dxa"/>
                  <w:right w:w="0" w:type="dxa"/>
                </w:tblCellMar>
              </w:tblPrEx>
              <w:trPr>
                <w:tblCellSpacing w:w="0" w:type="dxa"/>
                <w:jc w:val="center"/>
              </w:trPr>
              <w:tc>
                <w:tcPr>
                  <w:tcW w:w="9750" w:type="dxa"/>
                  <w:shd w:val="clear"/>
                  <w:vAlign w:val="center"/>
                </w:tcPr>
                <w:p>
                  <w:pPr>
                    <w:pStyle w:val="3"/>
                    <w:keepNext w:val="0"/>
                    <w:keepLines w:val="0"/>
                    <w:widowControl/>
                    <w:suppressLineNumbers w:val="0"/>
                    <w:shd w:val="clear" w:fill="FFFFFF"/>
                    <w:spacing w:line="355" w:lineRule="atLeast"/>
                    <w:ind w:left="0" w:firstLine="0"/>
                    <w:rPr>
                      <w:rFonts w:ascii="宋体" w:hAnsi="宋体" w:eastAsia="宋体" w:cs="宋体"/>
                      <w:b w:val="0"/>
                      <w:i w:val="0"/>
                      <w:caps w:val="0"/>
                      <w:color w:val="000000"/>
                      <w:spacing w:val="0"/>
                      <w:sz w:val="22"/>
                      <w:szCs w:val="22"/>
                    </w:rPr>
                  </w:pPr>
                  <w:r>
                    <w:rPr>
                      <w:rStyle w:val="5"/>
                      <w:rFonts w:ascii="Arial" w:hAnsi="Arial" w:eastAsia="宋体" w:cs="Arial"/>
                      <w:i w:val="0"/>
                      <w:caps w:val="0"/>
                      <w:color w:val="000000"/>
                      <w:spacing w:val="0"/>
                      <w:sz w:val="22"/>
                      <w:szCs w:val="22"/>
                      <w:shd w:val="clear" w:fill="FFFFFF"/>
                    </w:rPr>
                    <w:t>　　1. 2016年度教育部人文社会科学研究一般项目申报、评审周期安排是怎样的？</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——2016年度教育部一般项目定于2016年1月6日启动网上申报，2016年3月 10日结束网上申报，3月16日截止纸质材料报送；4月完成材料审核，5月组织评审。</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2. 一般项目面向哪些学校申报？</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——除专项任务项目另有规定外，全国普通高等学校都可以申报 (详见</w:t>
                  </w:r>
                  <w:r>
                    <w:rPr>
                      <w:rFonts w:hint="default" w:ascii="Arial" w:hAnsi="Arial" w:eastAsia="宋体" w:cs="Arial"/>
                      <w:b w:val="0"/>
                      <w:i w:val="0"/>
                      <w:caps w:val="0"/>
                      <w:spacing w:val="0"/>
                      <w:sz w:val="22"/>
                      <w:szCs w:val="22"/>
                      <w:shd w:val="clear" w:fill="FFFFFF"/>
                    </w:rPr>
                    <w:fldChar w:fldCharType="begin"/>
                  </w:r>
                  <w:r>
                    <w:rPr>
                      <w:rFonts w:hint="default" w:ascii="Arial" w:hAnsi="Arial" w:eastAsia="宋体" w:cs="Arial"/>
                      <w:b w:val="0"/>
                      <w:i w:val="0"/>
                      <w:caps w:val="0"/>
                      <w:spacing w:val="0"/>
                      <w:sz w:val="22"/>
                      <w:szCs w:val="22"/>
                      <w:shd w:val="clear" w:fill="FFFFFF"/>
                    </w:rPr>
                    <w:instrText xml:space="preserve"> HYPERLINK "http://www.sinoss.net/uploadfile/2016/0106/20160106030110695.pdf" \t "http://www.sinoss.net/2016/0106/_blank" </w:instrText>
                  </w:r>
                  <w:r>
                    <w:rPr>
                      <w:rFonts w:hint="default" w:ascii="Arial" w:hAnsi="Arial" w:eastAsia="宋体" w:cs="Arial"/>
                      <w:b w:val="0"/>
                      <w:i w:val="0"/>
                      <w:caps w:val="0"/>
                      <w:spacing w:val="0"/>
                      <w:sz w:val="22"/>
                      <w:szCs w:val="22"/>
                      <w:shd w:val="clear" w:fill="FFFFFF"/>
                    </w:rPr>
                    <w:fldChar w:fldCharType="separate"/>
                  </w:r>
                  <w:r>
                    <w:rPr>
                      <w:rStyle w:val="6"/>
                      <w:rFonts w:hint="default" w:ascii="Arial" w:hAnsi="Arial" w:eastAsia="宋体" w:cs="Arial"/>
                      <w:b w:val="0"/>
                      <w:i w:val="0"/>
                      <w:caps w:val="0"/>
                      <w:spacing w:val="0"/>
                      <w:sz w:val="22"/>
                      <w:szCs w:val="22"/>
                      <w:shd w:val="clear" w:fill="FFFFFF"/>
                    </w:rPr>
                    <w:t>普通高校名单</w:t>
                  </w:r>
                  <w:r>
                    <w:rPr>
                      <w:rFonts w:hint="default" w:ascii="Arial" w:hAnsi="Arial" w:eastAsia="宋体" w:cs="Arial"/>
                      <w:b w:val="0"/>
                      <w:i w:val="0"/>
                      <w:caps w:val="0"/>
                      <w:spacing w:val="0"/>
                      <w:sz w:val="22"/>
                      <w:szCs w:val="22"/>
                      <w:shd w:val="clear" w:fill="FFFFFF"/>
                    </w:rPr>
                    <w:fldChar w:fldCharType="end"/>
                  </w:r>
                  <w:r>
                    <w:rPr>
                      <w:rFonts w:hint="default" w:ascii="Arial" w:hAnsi="Arial" w:eastAsia="宋体" w:cs="Arial"/>
                      <w:b w:val="0"/>
                      <w:i w:val="0"/>
                      <w:caps w:val="0"/>
                      <w:color w:val="000000"/>
                      <w:spacing w:val="0"/>
                      <w:sz w:val="22"/>
                      <w:szCs w:val="22"/>
                      <w:shd w:val="clear" w:fill="FFFFFF"/>
                    </w:rPr>
                    <w:t>) 。上述高校系统外的人员不能作为项目负责人申报，但可作为课题组成员参加项目。</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3. 西部和边疆地区项目及西藏、新疆项目面向哪些省市普通高等学校？</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西部和边疆地区项目资助范围：重庆、四川、贵州、云南、陕西、甘肃、宁夏、青海、内蒙古、广西、海南十一个省(区、市)，以及湖南省湘西土家族苗族自治州、湖北省恩施土家族苗族自治州、吉林省延边朝鲜族自治州，上述地区的普通高等学校。新疆、西藏项目专门资助新疆与西藏地区的普通高等学校。</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4. 西部和边疆地区项目及新疆、西藏项目如何申报？</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西部和边疆地区项目及新疆、西藏项目不单独组织申报，申请评审书、申报时间、申报条件、评审标准、评审程序与其他一般项目相同，只是在评审结果中单独划线，面向西部和边疆地区、新疆、西藏地区高校择优确定。西部和边疆地区、新疆、西藏地区高校教师在申报时，统一按照《教育部社科司关于2016年度教育部人文社会科学研究一般项目申报工作的通知》要求和申报办法申报。</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5. 一般项目有申报指南吗？</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除专项任务项目另有规定外，一般项目不设申报指南，申请者应紧紧围绕党的十八大和十八届三中、四中、五中全会提出的新思想、新观点、新论断，尤其是结合“十三五”时期国家经济社会发展及学科发展的需要，根据自身的研究基础和特长，自行拟定研究课题。</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6. 一般项目是否实行限额申报？</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——除专项任务项目另有规定外，一般项目不实行限额申报，但各申报单位应严格把关，提高申报质量。未经申报单位审核并统一报送的申报材料，一律不予受理。</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7. 连续申报一般项目是否有限制？</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——连续2年（本次指2014、2015年）申请一般项目（含专项任务项目）未获资助的申请者，暂停1年一般项目申请资格，即2014、2015年连续两次申请项目未获资助，暂停2016年申请资格。</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8. 2016年度国家社科基金项目和2016年国家自然科学基金项目的申请者能否作为负责人申报教育部一般项目？</w:t>
                  </w:r>
                  <w:r>
                    <w:rPr>
                      <w:rFonts w:hint="default" w:ascii="Arial" w:hAnsi="Arial" w:eastAsia="宋体" w:cs="Arial"/>
                      <w:b w:val="0"/>
                      <w:i w:val="0"/>
                      <w:caps w:val="0"/>
                      <w:color w:val="000000"/>
                      <w:spacing w:val="0"/>
                      <w:sz w:val="22"/>
                      <w:szCs w:val="22"/>
                      <w:shd w:val="clear" w:fill="FFFFFF"/>
                    </w:rPr>
                    <w:t> </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申请国家社科基金年度项目（包括重点项目、一般项目、青年项目）、后期资助项目、西部项目和单列学科项目的负责人同年度不能申请教育部一般项目（含专项任务项目）。同一申请者以不同题目、不同内容也不能同时两边申报。</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申请国家自然科学基金项目的负责人可以同时申请教育部一般项目，但在教育部一般项目批准立项前获得国家自然科学基金项目者视为在研项目，将取消教育部项目立项资格。</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9. 对同时申报2016年度教育部一般项目、国家社科基金项目者如何处理？</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——查实同一申请者同时申报2016年度教育部一般项目、国家社科基金项目的，我部将取消其此次申报资格。</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10. 正在办理教育部一般项目结项的项目负责人能否申报2016年度教育部一般项目？</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——2015年12月31日前，在研的教育部一般项目已报送结项材料（以邮戳时间为准），符合结项条件的可申报2016年度教育部一般项目。</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11. 项目申请者是否可以同时作为课题组成员参加项目申报？</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每个申请者限报1个项目，可以作为课题组成员参加其他项目的申报。所列课题组成员必须征得成员本人同意，否则视为违规申报。需要注意的是，不得将内容相同或相近的项目，以不同申请者的名义提出申请。</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12. 副教授/副研究员及其他系列副高级职称可以申报规划基金项目吗？</w:t>
                  </w:r>
                  <w:r>
                    <w:rPr>
                      <w:rFonts w:hint="default" w:ascii="Arial" w:hAnsi="Arial" w:eastAsia="宋体" w:cs="Arial"/>
                      <w:i w:val="0"/>
                      <w:caps w:val="0"/>
                      <w:color w:val="000000"/>
                      <w:spacing w:val="0"/>
                      <w:sz w:val="22"/>
                      <w:szCs w:val="22"/>
                      <w:shd w:val="clear" w:fill="FFFFFF"/>
                    </w:rPr>
                    <w:t> </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——可以。高级职称包括正高级职称和副高级职称。</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13. 是否需要同时具有中级职称和博士学位才可以申报青年基金项目？</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——不需要。中级职称（讲师/助理研究员）凡年龄不超过40周岁（1976年1月1日以后出生），无论是否具有博士学位，均可申报青年基金项目。 </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14. 对青年基金项目课题组成员的年龄有限制吗？</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——没有。青年基金项目仅要求申请者年龄不超过40周岁，对课题组成员没有年龄及专业技术职务限制。</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15. 博士后能否申报一般项目？</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所在博士后流动站高校出具同意申报并承诺进行管理的证明，可以申报。出站后工作单位为高校者，经双方学校同意可变更项目管理单位。出站后工作单位为非高校的则项目不能转出,由原申报单位承担项目管理与监督责任。 </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16. 在内地普通高校工作的外籍教师和港澳台教师是否可以申报？</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——可以。由学校人事部门出具该教师在编在岗的人事证明，发传真至010-58803011，经审核同意后可以申报。如申请者没有身份证，请学校社科（科研）处联系系统管理员索要专门的项目申请书电子文档。 </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17. 项目申报的学科门类与2009年国标学科分类是否完全一致？</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——不完全一致。本项目申报学科门类以2009年国标《学科分类与代码》为基础，结合高校实际情况，作了部分调整，共分为25个学科门类。</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其中需要注意：“马克思主义/思想政治教育”包括国标中的“马克思主义”以及思想政治教育研究方向；“逻辑学”是国标中的“哲学”二级学科；“中国文学”、“外国文学”分别是国标中“文学”的两部分；“心理学”不包括国标中的“医学心理学”二级学科；“体育学”不包括国标中的“运动生物力学”、“运动生理学”、“运动心理学”、“体育保健学”、“运动生物化学”、“运动训练学”、“武术理论与方法”二级学科；“国际问题研究”、“港澳台问题研究”、“交叉学科/综合研究”为国标之外为促进相关领域研究发展而专门设立的申报门类。 </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18. 交叉学科/综合研究如何填报学科范围？</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——要按照“靠近优先”的原则，根据选题方向和研究重点，填报最为相关或最为接近的人文社会科学类二级、三级学科。以自然科学为主的项目不予受理。</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19. 《申请评审书》中研究类别分为基础研究、应用研究和实验与发展三类，如何理解实验与发展？是否等同于综合研究或其他研究？</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——根据国家统计局关于项目研究类型的分类标准，项目分为三类，即“基础研究”、“应用研究”、“实验与发展”。</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基础研究是指为了获得关于现象和可观察事实的基本原理的新知识（揭示客观事物的本质、运动规律，获得新发现、新学说）而进行的实验性或理论性研究，它不以任何专门或特定的应用或使用为目的。其成果以科学论文和科学著作为主要形式。 </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应用研究是指为获得新知识而进行的创造性研究，主要针对某一特定的目的或目标。应用研究是为了确定基础研究成果可能的用途，或是为达到预定的目标探索应采取的新方法（原理性）或新途径。其成果形式以科学论文、专著、原理性模型或发明专利为主。 </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实验与发展是指利用从基础研究、应用研究和实际经验所获得的现有知识，为产生新的产品、材料和装置，建立新的工艺、系统和服务，以及对已产生和建立的上述各项做实质性的改进而进行的系统性工作。其成果形式主要是专利、专有技术、具有新产品基本特征的产品原型或具有新装置基本特征的原始样机等。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 </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20. 《申请评审书》A表:申请者承担省级以上社科研究项目情况以及完成情况，是否包括作为项目参与者参加的研究项目？</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——不包括，应填写申请者作为负责人主持承担省级以上社科研究项目情况以及完成情况。</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21. 《申请评审书》B表“资料准备情况”应如何表述？</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——可以采用两种方式按相关要求进行规范表述。一用描述性的语言进行概括式表述；二用清单的方式进行罗列式表述。</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22. 《申请评审书》B表有关论证中能否出现申请者已发表文章的期刊名称、文章题目及承担课题的名称？</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为保证评审专家能够充分了解申请课题的研究基础，同时保证评审的公正，《申请评审书》B表可以出现申请者已发表文章的期刊名称、文章题目及作为负责人主持承担的课题名称，但不得出现本人所在单位、姓名等个人身份信息。</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23. 一般项目资助经费多少？</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——除专项任务项目另有规定外，根据2016年《申报通知》规定，规划基金项目资助经费原则上不超过10万元，青年基金项目资助经费原则上不超过8万元。</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24. 今年经费预算填报要求有何新变化？</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2016年一般项目实行严格规范的预决算管理，项目申请者应在资助限额内，根据实际需求准确测算总经费预算，列明预算细目，同时还要列出分年度经费预算。项目批准立项后，将按照审核通过的分年度预算进行拨款。</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25. 一般项目资助经费中是否包含研究成果的出版资助？</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——一般项目资助经费中不包含研究成果的出版资助。</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26. 申报自筹经费项目需要注意什么问题？</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必须在《申请评审书》后附上学校财务处提供的委托研究单位经费到账凭证或银行回单等证明材料复印件（文字说明类证明材料无效），同时填写《申请评审书》中的“其他来源经费”栏。校内资助的项目不能申报自筹经费项目。申报自筹经费项目的到帐科研经费不得低于8万元。 </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27. 一般项目研究周期是多长时间？</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——项目自批准之日起，研究周期一般为3年，特殊情况可申请延期1-2年。申请延期一次最多不得超过1年，一个项目申请延期最多不得超过2次。</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28. 项目申报通知有关内容与项目管理办法不一致时以哪个为准？</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29. 教育部在审核各高校申请的项目时重点审核哪些内容？</w:t>
                  </w:r>
                  <w:r>
                    <w:rPr>
                      <w:rStyle w:val="5"/>
                      <w:rFonts w:hint="default" w:ascii="Arial" w:hAnsi="Arial" w:eastAsia="宋体" w:cs="Arial"/>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重点审核以下内容：（1）申请者所在学校是否是规定申报范围内的全国普通高等学校；（2）纸质《申请评审书》封面是否加盖申请者所在学校公章、封底是否加盖科研管理部门公章及申请者本人签字，课题组成员是否签字。（3）填报的项目类别、学科门类、研究方向及其他申请书内容是否齐全、正确。（4）申请者本人是否符合申报条件，包括申报规划基金项目的专业技术职务是否符合规定，申报青年基金项目的年龄是否超龄，申报自筹经费项目的是否有到款证明，申请者是否有在研的国家社科、自然科学基金项目及教育部人文社科项目等。（5）申请者是否同时申报2个及以上项目。（6）上报的纸质《申请评审书》与网上上传的电子版是否一致。（7）《申请评审书》B表是否出现申请者学校、姓名等有关信息。</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审核完成后将在网上公示申报情况，对于不符合申报条件和要求的申报课题将一律予以撤销。</w:t>
                  </w:r>
                  <w:r>
                    <w:rPr>
                      <w:rFonts w:hint="default" w:ascii="Arial" w:hAnsi="Arial" w:eastAsia="宋体" w:cs="Arial"/>
                      <w:b w:val="0"/>
                      <w:i w:val="0"/>
                      <w:caps w:val="0"/>
                      <w:color w:val="000000"/>
                      <w:spacing w:val="0"/>
                      <w:sz w:val="22"/>
                      <w:szCs w:val="22"/>
                      <w:shd w:val="clear" w:fill="FFFFFF"/>
                    </w:rPr>
                    <w:br w:type="textWrapping"/>
                  </w:r>
                  <w:r>
                    <w:rPr>
                      <w:rStyle w:val="5"/>
                      <w:rFonts w:hint="default" w:ascii="Arial" w:hAnsi="Arial" w:eastAsia="宋体" w:cs="Arial"/>
                      <w:i w:val="0"/>
                      <w:caps w:val="0"/>
                      <w:color w:val="000000"/>
                      <w:spacing w:val="0"/>
                      <w:sz w:val="22"/>
                      <w:szCs w:val="22"/>
                      <w:shd w:val="clear" w:fill="FFFFFF"/>
                    </w:rPr>
                    <w:t>　　30. 项目批准立项后是否可以变更项目管理单位或调整课题组成员？</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——可以。变更后的项目管理单位必须是普通高校，变更申请必须由新旧单位科研主管部门同意并签章，经批准同意后将项目转入新工作单位。</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31.重要事项变更申请如何办理？</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办理项目延期、变更管理单位、调整课题组成员以及其他变更事项，申请者必须登录中国高校人文社科网（</w:t>
                  </w:r>
                  <w:r>
                    <w:rPr>
                      <w:rFonts w:hint="default" w:ascii="Arial" w:hAnsi="Arial" w:eastAsia="宋体" w:cs="Arial"/>
                      <w:b w:val="0"/>
                      <w:i w:val="0"/>
                      <w:caps w:val="0"/>
                      <w:spacing w:val="0"/>
                      <w:sz w:val="22"/>
                      <w:szCs w:val="22"/>
                      <w:shd w:val="clear" w:fill="FFFFFF"/>
                    </w:rPr>
                    <w:fldChar w:fldCharType="begin"/>
                  </w:r>
                  <w:r>
                    <w:rPr>
                      <w:rFonts w:hint="default" w:ascii="Arial" w:hAnsi="Arial" w:eastAsia="宋体" w:cs="Arial"/>
                      <w:b w:val="0"/>
                      <w:i w:val="0"/>
                      <w:caps w:val="0"/>
                      <w:spacing w:val="0"/>
                      <w:sz w:val="22"/>
                      <w:szCs w:val="22"/>
                      <w:shd w:val="clear" w:fill="FFFFFF"/>
                    </w:rPr>
                    <w:instrText xml:space="preserve"> HYPERLINK "http://www.sinoss.net/" </w:instrText>
                  </w:r>
                  <w:r>
                    <w:rPr>
                      <w:rFonts w:hint="default" w:ascii="Arial" w:hAnsi="Arial" w:eastAsia="宋体" w:cs="Arial"/>
                      <w:b w:val="0"/>
                      <w:i w:val="0"/>
                      <w:caps w:val="0"/>
                      <w:spacing w:val="0"/>
                      <w:sz w:val="22"/>
                      <w:szCs w:val="22"/>
                      <w:shd w:val="clear" w:fill="FFFFFF"/>
                    </w:rPr>
                    <w:fldChar w:fldCharType="separate"/>
                  </w:r>
                  <w:r>
                    <w:rPr>
                      <w:rStyle w:val="6"/>
                      <w:rFonts w:hint="default" w:ascii="Arial" w:hAnsi="Arial" w:eastAsia="宋体" w:cs="Arial"/>
                      <w:b w:val="0"/>
                      <w:i w:val="0"/>
                      <w:caps w:val="0"/>
                      <w:spacing w:val="0"/>
                      <w:sz w:val="22"/>
                      <w:szCs w:val="22"/>
                      <w:shd w:val="clear" w:fill="FFFFFF"/>
                    </w:rPr>
                    <w:t>www.sinoss.net</w:t>
                  </w:r>
                  <w:r>
                    <w:rPr>
                      <w:rFonts w:hint="default" w:ascii="Arial" w:hAnsi="Arial" w:eastAsia="宋体" w:cs="Arial"/>
                      <w:b w:val="0"/>
                      <w:i w:val="0"/>
                      <w:caps w:val="0"/>
                      <w:spacing w:val="0"/>
                      <w:sz w:val="22"/>
                      <w:szCs w:val="22"/>
                      <w:shd w:val="clear" w:fill="FFFFFF"/>
                    </w:rPr>
                    <w:fldChar w:fldCharType="end"/>
                  </w:r>
                  <w:r>
                    <w:rPr>
                      <w:rFonts w:hint="default" w:ascii="Arial" w:hAnsi="Arial" w:eastAsia="宋体" w:cs="Arial"/>
                      <w:b w:val="0"/>
                      <w:i w:val="0"/>
                      <w:caps w:val="0"/>
                      <w:color w:val="000000"/>
                      <w:spacing w:val="0"/>
                      <w:sz w:val="22"/>
                      <w:szCs w:val="22"/>
                      <w:shd w:val="clear" w:fill="FFFFFF"/>
                    </w:rPr>
                    <w:t>）教育部人文社科研究管理平台，在线提出变更申请，由学校科研管理部门在线审核后，由社科司审核备案。</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32. 一般项目申请、中检、重大事项变更、鉴定、结项的受理单位及联系方式？</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——受理单位：北京师范大学社科管理咨询服务中心</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地址：北京市海淀区新街口外大街19号北京师范大学科技楼C区1001室，邮编100875。</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联系人及电话：</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一般项目申报受理：范明宇，联系电话：010-58805145</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项目中检、鉴定、结项：刘杰：010-58802730</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传真：010-58803011</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电子信箱：</w:t>
                  </w:r>
                  <w:r>
                    <w:rPr>
                      <w:rFonts w:hint="default" w:ascii="Arial" w:hAnsi="Arial" w:eastAsia="宋体" w:cs="Arial"/>
                      <w:b w:val="0"/>
                      <w:i w:val="0"/>
                      <w:caps w:val="0"/>
                      <w:spacing w:val="0"/>
                      <w:sz w:val="22"/>
                      <w:szCs w:val="22"/>
                      <w:shd w:val="clear" w:fill="FFFFFF"/>
                    </w:rPr>
                    <w:fldChar w:fldCharType="begin"/>
                  </w:r>
                  <w:r>
                    <w:rPr>
                      <w:rFonts w:hint="default" w:ascii="Arial" w:hAnsi="Arial" w:eastAsia="宋体" w:cs="Arial"/>
                      <w:b w:val="0"/>
                      <w:i w:val="0"/>
                      <w:caps w:val="0"/>
                      <w:spacing w:val="0"/>
                      <w:sz w:val="22"/>
                      <w:szCs w:val="22"/>
                      <w:shd w:val="clear" w:fill="FFFFFF"/>
                    </w:rPr>
                    <w:instrText xml:space="preserve"> HYPERLINK "mailto:moesk@bnu.edu.cn" </w:instrText>
                  </w:r>
                  <w:r>
                    <w:rPr>
                      <w:rFonts w:hint="default" w:ascii="Arial" w:hAnsi="Arial" w:eastAsia="宋体" w:cs="Arial"/>
                      <w:b w:val="0"/>
                      <w:i w:val="0"/>
                      <w:caps w:val="0"/>
                      <w:spacing w:val="0"/>
                      <w:sz w:val="22"/>
                      <w:szCs w:val="22"/>
                      <w:shd w:val="clear" w:fill="FFFFFF"/>
                    </w:rPr>
                    <w:fldChar w:fldCharType="separate"/>
                  </w:r>
                  <w:r>
                    <w:rPr>
                      <w:rStyle w:val="6"/>
                      <w:rFonts w:hint="default" w:ascii="Arial" w:hAnsi="Arial" w:eastAsia="宋体" w:cs="Arial"/>
                      <w:b w:val="0"/>
                      <w:i w:val="0"/>
                      <w:caps w:val="0"/>
                      <w:spacing w:val="0"/>
                      <w:sz w:val="22"/>
                      <w:szCs w:val="22"/>
                      <w:shd w:val="clear" w:fill="FFFFFF"/>
                    </w:rPr>
                    <w:t>moesk@bnu.edu.cn</w:t>
                  </w:r>
                  <w:r>
                    <w:rPr>
                      <w:rFonts w:hint="default" w:ascii="Arial" w:hAnsi="Arial" w:eastAsia="宋体" w:cs="Arial"/>
                      <w:b w:val="0"/>
                      <w:i w:val="0"/>
                      <w:caps w:val="0"/>
                      <w:spacing w:val="0"/>
                      <w:sz w:val="22"/>
                      <w:szCs w:val="22"/>
                      <w:shd w:val="clear" w:fill="FFFFFF"/>
                    </w:rPr>
                    <w:fldChar w:fldCharType="end"/>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r>
                    <w:rPr>
                      <w:rStyle w:val="5"/>
                      <w:rFonts w:hint="default" w:ascii="Arial" w:hAnsi="Arial" w:eastAsia="宋体" w:cs="Arial"/>
                      <w:i w:val="0"/>
                      <w:caps w:val="0"/>
                      <w:color w:val="000000"/>
                      <w:spacing w:val="0"/>
                      <w:sz w:val="22"/>
                      <w:szCs w:val="22"/>
                      <w:shd w:val="clear" w:fill="FFFFFF"/>
                    </w:rPr>
                    <w:t>　33. 各类专项任务项目通知什么时候下发？</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——专项任务项目申报通知将另行下发，请关注教育部网站社科司网页（</w:t>
                  </w:r>
                  <w:r>
                    <w:rPr>
                      <w:rFonts w:hint="default" w:ascii="Arial" w:hAnsi="Arial" w:eastAsia="宋体" w:cs="Arial"/>
                      <w:b w:val="0"/>
                      <w:i w:val="0"/>
                      <w:caps w:val="0"/>
                      <w:spacing w:val="0"/>
                      <w:sz w:val="22"/>
                      <w:szCs w:val="22"/>
                      <w:shd w:val="clear" w:fill="FFFFFF"/>
                    </w:rPr>
                    <w:fldChar w:fldCharType="begin"/>
                  </w:r>
                  <w:r>
                    <w:rPr>
                      <w:rFonts w:hint="default" w:ascii="Arial" w:hAnsi="Arial" w:eastAsia="宋体" w:cs="Arial"/>
                      <w:b w:val="0"/>
                      <w:i w:val="0"/>
                      <w:caps w:val="0"/>
                      <w:spacing w:val="0"/>
                      <w:sz w:val="22"/>
                      <w:szCs w:val="22"/>
                      <w:shd w:val="clear" w:fill="FFFFFF"/>
                    </w:rPr>
                    <w:instrText xml:space="preserve"> HYPERLINK "http://www.moe.edu.cn/" </w:instrText>
                  </w:r>
                  <w:r>
                    <w:rPr>
                      <w:rFonts w:hint="default" w:ascii="Arial" w:hAnsi="Arial" w:eastAsia="宋体" w:cs="Arial"/>
                      <w:b w:val="0"/>
                      <w:i w:val="0"/>
                      <w:caps w:val="0"/>
                      <w:spacing w:val="0"/>
                      <w:sz w:val="22"/>
                      <w:szCs w:val="22"/>
                      <w:shd w:val="clear" w:fill="FFFFFF"/>
                    </w:rPr>
                    <w:fldChar w:fldCharType="separate"/>
                  </w:r>
                  <w:r>
                    <w:rPr>
                      <w:rStyle w:val="6"/>
                      <w:rFonts w:hint="default" w:ascii="Arial" w:hAnsi="Arial" w:eastAsia="宋体" w:cs="Arial"/>
                      <w:b w:val="0"/>
                      <w:i w:val="0"/>
                      <w:caps w:val="0"/>
                      <w:spacing w:val="0"/>
                      <w:sz w:val="22"/>
                      <w:szCs w:val="22"/>
                      <w:shd w:val="clear" w:fill="FFFFFF"/>
                    </w:rPr>
                    <w:t>www.moe.edu.cn</w:t>
                  </w:r>
                  <w:r>
                    <w:rPr>
                      <w:rFonts w:hint="default" w:ascii="Arial" w:hAnsi="Arial" w:eastAsia="宋体" w:cs="Arial"/>
                      <w:b w:val="0"/>
                      <w:i w:val="0"/>
                      <w:caps w:val="0"/>
                      <w:spacing w:val="0"/>
                      <w:sz w:val="22"/>
                      <w:szCs w:val="22"/>
                      <w:shd w:val="clear" w:fill="FFFFFF"/>
                    </w:rPr>
                    <w:fldChar w:fldCharType="end"/>
                  </w:r>
                  <w:r>
                    <w:rPr>
                      <w:rFonts w:hint="default" w:ascii="Arial" w:hAnsi="Arial" w:eastAsia="宋体" w:cs="Arial"/>
                      <w:b w:val="0"/>
                      <w:i w:val="0"/>
                      <w:caps w:val="0"/>
                      <w:color w:val="000000"/>
                      <w:spacing w:val="0"/>
                      <w:sz w:val="22"/>
                      <w:szCs w:val="22"/>
                      <w:shd w:val="clear" w:fill="FFFFFF"/>
                    </w:rPr>
                    <w:t>）和中国高校人文社会科学信息网（</w:t>
                  </w:r>
                  <w:r>
                    <w:rPr>
                      <w:rFonts w:hint="default" w:ascii="Arial" w:hAnsi="Arial" w:eastAsia="宋体" w:cs="Arial"/>
                      <w:b w:val="0"/>
                      <w:i w:val="0"/>
                      <w:caps w:val="0"/>
                      <w:spacing w:val="0"/>
                      <w:sz w:val="22"/>
                      <w:szCs w:val="22"/>
                      <w:shd w:val="clear" w:fill="FFFFFF"/>
                    </w:rPr>
                    <w:fldChar w:fldCharType="begin"/>
                  </w:r>
                  <w:r>
                    <w:rPr>
                      <w:rFonts w:hint="default" w:ascii="Arial" w:hAnsi="Arial" w:eastAsia="宋体" w:cs="Arial"/>
                      <w:b w:val="0"/>
                      <w:i w:val="0"/>
                      <w:caps w:val="0"/>
                      <w:spacing w:val="0"/>
                      <w:sz w:val="22"/>
                      <w:szCs w:val="22"/>
                      <w:shd w:val="clear" w:fill="FFFFFF"/>
                    </w:rPr>
                    <w:instrText xml:space="preserve"> HYPERLINK "http://www.sinoss.net/" </w:instrText>
                  </w:r>
                  <w:r>
                    <w:rPr>
                      <w:rFonts w:hint="default" w:ascii="Arial" w:hAnsi="Arial" w:eastAsia="宋体" w:cs="Arial"/>
                      <w:b w:val="0"/>
                      <w:i w:val="0"/>
                      <w:caps w:val="0"/>
                      <w:spacing w:val="0"/>
                      <w:sz w:val="22"/>
                      <w:szCs w:val="22"/>
                      <w:shd w:val="clear" w:fill="FFFFFF"/>
                    </w:rPr>
                    <w:fldChar w:fldCharType="separate"/>
                  </w:r>
                  <w:r>
                    <w:rPr>
                      <w:rStyle w:val="6"/>
                      <w:rFonts w:hint="default" w:ascii="Arial" w:hAnsi="Arial" w:eastAsia="宋体" w:cs="Arial"/>
                      <w:b w:val="0"/>
                      <w:i w:val="0"/>
                      <w:caps w:val="0"/>
                      <w:spacing w:val="0"/>
                      <w:sz w:val="22"/>
                      <w:szCs w:val="22"/>
                      <w:shd w:val="clear" w:fill="FFFFFF"/>
                    </w:rPr>
                    <w:t>www.sinoss.net</w:t>
                  </w:r>
                  <w:r>
                    <w:rPr>
                      <w:rFonts w:hint="default" w:ascii="Arial" w:hAnsi="Arial" w:eastAsia="宋体" w:cs="Arial"/>
                      <w:b w:val="0"/>
                      <w:i w:val="0"/>
                      <w:caps w:val="0"/>
                      <w:spacing w:val="0"/>
                      <w:sz w:val="22"/>
                      <w:szCs w:val="22"/>
                      <w:shd w:val="clear" w:fill="FFFFFF"/>
                    </w:rPr>
                    <w:fldChar w:fldCharType="end"/>
                  </w:r>
                  <w:r>
                    <w:rPr>
                      <w:rFonts w:hint="default" w:ascii="Arial" w:hAnsi="Arial" w:eastAsia="宋体" w:cs="Arial"/>
                      <w:b w:val="0"/>
                      <w:i w:val="0"/>
                      <w:caps w:val="0"/>
                      <w:color w:val="000000"/>
                      <w:spacing w:val="0"/>
                      <w:sz w:val="22"/>
                      <w:szCs w:val="22"/>
                      <w:shd w:val="clear" w:fill="FFFFFF"/>
                    </w:rPr>
                    <w:t>）。</w:t>
                  </w:r>
                  <w:r>
                    <w:rPr>
                      <w:rFonts w:hint="default" w:ascii="Arial" w:hAnsi="Arial" w:eastAsia="宋体" w:cs="Arial"/>
                      <w:b w:val="0"/>
                      <w:i w:val="0"/>
                      <w:caps w:val="0"/>
                      <w:color w:val="000000"/>
                      <w:spacing w:val="0"/>
                      <w:sz w:val="22"/>
                      <w:szCs w:val="22"/>
                      <w:shd w:val="clear" w:fill="FFFFFF"/>
                    </w:rPr>
                    <w:br w:type="textWrapping"/>
                  </w:r>
                  <w:r>
                    <w:rPr>
                      <w:rFonts w:hint="default" w:ascii="Arial" w:hAnsi="Arial" w:eastAsia="宋体" w:cs="Arial"/>
                      <w:b w:val="0"/>
                      <w:i w:val="0"/>
                      <w:caps w:val="0"/>
                      <w:color w:val="000000"/>
                      <w:spacing w:val="0"/>
                      <w:sz w:val="22"/>
                      <w:szCs w:val="22"/>
                      <w:shd w:val="clear" w:fill="FFFFFF"/>
                    </w:rPr>
                    <w:t> </w:t>
                  </w:r>
                </w:p>
                <w:p>
                  <w:pPr>
                    <w:keepNext w:val="0"/>
                    <w:keepLines w:val="0"/>
                    <w:widowControl/>
                    <w:suppressLineNumbers w:val="0"/>
                    <w:jc w:val="left"/>
                  </w:pPr>
                </w:p>
              </w:tc>
            </w:tr>
          </w:tbl>
          <w:p>
            <w:pPr>
              <w:jc w:val="center"/>
            </w:pPr>
          </w:p>
        </w:tc>
      </w:tr>
    </w:tbl>
    <w:p>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5070F4"/>
    <w:rsid w:val="095070F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2016-01-13T02:25:00Z</dcterms:created>
  <dc:creator>Administrator</dc:creator>
  <cp:lastModifiedBy>Administrator</cp:lastModifiedBy>
  <dcterms:modified xsi:type="dcterms:W3CDTF">2016-01-13T02:25:27Z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